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8F" w:rsidRPr="00D3338F" w:rsidRDefault="00D3338F" w:rsidP="00D3338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8F" w:rsidRPr="00D3338F" w:rsidRDefault="00D3338F" w:rsidP="00D3338F">
      <w:pPr>
        <w:jc w:val="center"/>
        <w:rPr>
          <w:b/>
          <w:sz w:val="28"/>
          <w:szCs w:val="28"/>
        </w:rPr>
      </w:pPr>
    </w:p>
    <w:p w:rsidR="00D3338F" w:rsidRPr="00D3338F" w:rsidRDefault="00D3338F" w:rsidP="00D3338F">
      <w:pPr>
        <w:jc w:val="center"/>
        <w:rPr>
          <w:b/>
          <w:sz w:val="36"/>
          <w:szCs w:val="36"/>
        </w:rPr>
      </w:pPr>
      <w:r w:rsidRPr="00D3338F">
        <w:rPr>
          <w:b/>
          <w:sz w:val="36"/>
          <w:szCs w:val="36"/>
        </w:rPr>
        <w:t>П О С Т А Н О В Л Е Н И Е</w:t>
      </w:r>
    </w:p>
    <w:p w:rsidR="00D3338F" w:rsidRPr="00D3338F" w:rsidRDefault="00D3338F" w:rsidP="00D3338F">
      <w:pPr>
        <w:jc w:val="center"/>
        <w:rPr>
          <w:b/>
          <w:sz w:val="28"/>
          <w:szCs w:val="28"/>
        </w:rPr>
      </w:pPr>
    </w:p>
    <w:p w:rsidR="00D3338F" w:rsidRPr="00D3338F" w:rsidRDefault="00D3338F" w:rsidP="00D3338F">
      <w:pPr>
        <w:jc w:val="center"/>
        <w:rPr>
          <w:b/>
          <w:sz w:val="28"/>
          <w:szCs w:val="28"/>
        </w:rPr>
      </w:pPr>
      <w:r w:rsidRPr="00D3338F">
        <w:rPr>
          <w:b/>
          <w:sz w:val="28"/>
          <w:szCs w:val="28"/>
        </w:rPr>
        <w:t>АДМИНИСТРАЦИИ КРАСНОГВАРДЕЙСКОГО</w:t>
      </w:r>
    </w:p>
    <w:p w:rsidR="00D3338F" w:rsidRPr="00D3338F" w:rsidRDefault="00D3338F" w:rsidP="00D3338F">
      <w:pPr>
        <w:jc w:val="center"/>
        <w:rPr>
          <w:b/>
          <w:sz w:val="28"/>
          <w:szCs w:val="28"/>
        </w:rPr>
      </w:pPr>
      <w:r w:rsidRPr="00D3338F">
        <w:rPr>
          <w:b/>
          <w:sz w:val="28"/>
          <w:szCs w:val="28"/>
        </w:rPr>
        <w:t>МУНИЦИПАЛЬНОГО ОКРУГА СТАВРОПОЛЬСКОГО КРАЯ</w:t>
      </w:r>
    </w:p>
    <w:p w:rsidR="00AF25FB" w:rsidRDefault="00AF25FB" w:rsidP="00AF25FB">
      <w:pPr>
        <w:rPr>
          <w:sz w:val="28"/>
          <w:szCs w:val="28"/>
        </w:rPr>
      </w:pPr>
    </w:p>
    <w:p w:rsidR="00AF25FB" w:rsidRDefault="00D3338F" w:rsidP="00D3338F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2021 г.</w:t>
      </w:r>
      <w:r w:rsidR="00AF25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AF25FB">
        <w:rPr>
          <w:sz w:val="28"/>
          <w:szCs w:val="28"/>
        </w:rPr>
        <w:t xml:space="preserve">       с. Красногвардейское</w:t>
      </w:r>
      <w:r w:rsidR="00AF25F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="00AF25FB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976</w:t>
      </w:r>
    </w:p>
    <w:p w:rsidR="00AF25FB" w:rsidRDefault="00AF25FB" w:rsidP="00D3338F">
      <w:pPr>
        <w:spacing w:line="240" w:lineRule="exact"/>
        <w:rPr>
          <w:sz w:val="28"/>
          <w:szCs w:val="28"/>
        </w:rPr>
      </w:pPr>
    </w:p>
    <w:p w:rsidR="00AF25FB" w:rsidRPr="00CB24B3" w:rsidRDefault="00AF25FB" w:rsidP="00D33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10744">
        <w:rPr>
          <w:sz w:val="28"/>
          <w:szCs w:val="28"/>
        </w:rPr>
        <w:t>П</w:t>
      </w:r>
      <w:r>
        <w:rPr>
          <w:sz w:val="28"/>
          <w:szCs w:val="28"/>
        </w:rPr>
        <w:t>орядка р</w:t>
      </w:r>
      <w:r w:rsidRPr="00CB24B3">
        <w:rPr>
          <w:sz w:val="28"/>
          <w:szCs w:val="28"/>
        </w:rPr>
        <w:t>азработки</w:t>
      </w:r>
      <w:r>
        <w:rPr>
          <w:sz w:val="28"/>
          <w:szCs w:val="28"/>
        </w:rPr>
        <w:t>,</w:t>
      </w:r>
      <w:r w:rsidRPr="00CB24B3">
        <w:rPr>
          <w:sz w:val="28"/>
          <w:szCs w:val="28"/>
        </w:rPr>
        <w:t xml:space="preserve"> корректировки</w:t>
      </w:r>
      <w:r>
        <w:rPr>
          <w:sz w:val="28"/>
          <w:szCs w:val="28"/>
        </w:rPr>
        <w:t>, осуществления мониторинга и контроля реализации</w:t>
      </w:r>
      <w:r w:rsidRPr="00CB24B3">
        <w:rPr>
          <w:sz w:val="28"/>
          <w:szCs w:val="28"/>
        </w:rPr>
        <w:t xml:space="preserve"> прогноза социально-экономического развития Красногвардейского муниципального </w:t>
      </w:r>
      <w:r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 на долгосрочный период</w:t>
      </w:r>
    </w:p>
    <w:p w:rsidR="00AF25FB" w:rsidRDefault="00AF25FB" w:rsidP="00D333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3338F" w:rsidRPr="001B6652" w:rsidRDefault="00D3338F" w:rsidP="00D333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F25FB" w:rsidRDefault="00A25B73" w:rsidP="00D3338F">
      <w:pPr>
        <w:pStyle w:val="ConsPlusNormal"/>
        <w:ind w:firstLine="709"/>
        <w:jc w:val="both"/>
      </w:pPr>
      <w:r w:rsidRPr="00A25B73">
        <w:t xml:space="preserve">В соответствии с Бюджетным кодексом Российской Федерации, Федеральным законом от 28 июня 2014 г. № 172-ФЗ «О стратегическом планировании в Российской Федерации», </w:t>
      </w:r>
      <w:r w:rsidR="00AF25FB" w:rsidRPr="00A25B73">
        <w:t>администрация</w:t>
      </w:r>
      <w:r w:rsidR="00AF25FB">
        <w:t xml:space="preserve"> Красногвардейского муниципального округа Ставропольского края </w:t>
      </w:r>
    </w:p>
    <w:p w:rsidR="00EA00AC" w:rsidRDefault="00EA00AC" w:rsidP="00EA00AC">
      <w:pPr>
        <w:pStyle w:val="ConsPlusNormal"/>
        <w:ind w:firstLine="540"/>
        <w:jc w:val="both"/>
      </w:pPr>
    </w:p>
    <w:p w:rsidR="00EA00AC" w:rsidRPr="001B6652" w:rsidRDefault="00EA00AC" w:rsidP="00EA00AC">
      <w:pPr>
        <w:jc w:val="both"/>
        <w:rPr>
          <w:sz w:val="28"/>
          <w:szCs w:val="28"/>
        </w:rPr>
      </w:pPr>
      <w:r w:rsidRPr="001B6652">
        <w:rPr>
          <w:sz w:val="28"/>
          <w:szCs w:val="28"/>
        </w:rPr>
        <w:t>ПОСТАНОВЛЯЕТ:</w:t>
      </w:r>
    </w:p>
    <w:p w:rsidR="00EA00AC" w:rsidRDefault="00EA00AC" w:rsidP="00EA00AC">
      <w:pPr>
        <w:pStyle w:val="ConsPlusNormal"/>
        <w:ind w:firstLine="540"/>
        <w:jc w:val="both"/>
      </w:pPr>
    </w:p>
    <w:p w:rsidR="00A25B73" w:rsidRDefault="00AF25FB" w:rsidP="00D3338F">
      <w:pPr>
        <w:ind w:firstLine="709"/>
        <w:jc w:val="both"/>
        <w:rPr>
          <w:sz w:val="28"/>
          <w:szCs w:val="28"/>
        </w:rPr>
      </w:pPr>
      <w:r w:rsidRPr="00A25B73">
        <w:rPr>
          <w:sz w:val="28"/>
          <w:szCs w:val="28"/>
        </w:rPr>
        <w:t xml:space="preserve">1. Утвердить прилагаемый </w:t>
      </w:r>
      <w:hyperlink w:anchor="P35" w:history="1">
        <w:r w:rsidRPr="00A25B73">
          <w:rPr>
            <w:sz w:val="28"/>
            <w:szCs w:val="28"/>
          </w:rPr>
          <w:t>Порядок</w:t>
        </w:r>
      </w:hyperlink>
      <w:r w:rsidRPr="00A25B73">
        <w:rPr>
          <w:sz w:val="28"/>
          <w:szCs w:val="28"/>
        </w:rPr>
        <w:t xml:space="preserve"> </w:t>
      </w:r>
      <w:r w:rsidR="00A25B73" w:rsidRPr="00A25B73">
        <w:rPr>
          <w:sz w:val="28"/>
          <w:szCs w:val="28"/>
        </w:rPr>
        <w:t>разработки, корректировки, осуществления мониторинга и контроля реализации прогноза социально-экономического развития Красногвардейского муниципального округа Ставропольского края на долгосрочный период</w:t>
      </w:r>
      <w:r w:rsidR="00A25B73">
        <w:rPr>
          <w:sz w:val="28"/>
          <w:szCs w:val="28"/>
        </w:rPr>
        <w:t>.</w:t>
      </w:r>
    </w:p>
    <w:p w:rsidR="00D3338F" w:rsidRPr="00A25B73" w:rsidRDefault="00D3338F" w:rsidP="00D3338F">
      <w:pPr>
        <w:ind w:firstLine="709"/>
        <w:jc w:val="both"/>
        <w:rPr>
          <w:sz w:val="28"/>
          <w:szCs w:val="28"/>
        </w:rPr>
      </w:pPr>
    </w:p>
    <w:p w:rsidR="00EA00AC" w:rsidRDefault="00A25B73" w:rsidP="00D3338F">
      <w:pPr>
        <w:pStyle w:val="ad"/>
        <w:ind w:firstLine="709"/>
        <w:jc w:val="both"/>
      </w:pPr>
      <w:r w:rsidRPr="00572F0A">
        <w:t xml:space="preserve">2. </w:t>
      </w:r>
      <w:r w:rsidR="00EA00AC" w:rsidRPr="00FD60BC">
        <w:t>Признать утратившими силу</w:t>
      </w:r>
      <w:r w:rsidR="00EA00AC" w:rsidRPr="00EA00AC">
        <w:t xml:space="preserve"> </w:t>
      </w:r>
      <w:r w:rsidR="00EA00AC">
        <w:t>постановления</w:t>
      </w:r>
      <w:r w:rsidR="00EA00AC" w:rsidRPr="00572F0A">
        <w:t xml:space="preserve"> администрации </w:t>
      </w:r>
      <w:r w:rsidR="00EA00AC">
        <w:t>Красногвардейского</w:t>
      </w:r>
      <w:r w:rsidR="00EA00AC" w:rsidRPr="00572F0A">
        <w:t xml:space="preserve"> муниципального </w:t>
      </w:r>
      <w:r w:rsidR="00EA00AC">
        <w:t>района</w:t>
      </w:r>
      <w:r w:rsidR="00EA00AC" w:rsidRPr="00572F0A">
        <w:t xml:space="preserve"> Ставропольского края</w:t>
      </w:r>
      <w:r w:rsidR="00EA00AC">
        <w:t>:</w:t>
      </w:r>
    </w:p>
    <w:p w:rsidR="00EA00AC" w:rsidRPr="00EA00AC" w:rsidRDefault="00EA00AC" w:rsidP="00D3338F">
      <w:pPr>
        <w:pStyle w:val="ad"/>
        <w:ind w:firstLine="709"/>
        <w:jc w:val="both"/>
      </w:pPr>
      <w:r>
        <w:t>от 16 октября 2015 года №</w:t>
      </w:r>
      <w:r w:rsidR="00F70A22">
        <w:t xml:space="preserve"> </w:t>
      </w:r>
      <w:bookmarkStart w:id="0" w:name="_GoBack"/>
      <w:bookmarkEnd w:id="0"/>
      <w:r>
        <w:t>438 «</w:t>
      </w:r>
      <w:r w:rsidRPr="00193D30">
        <w:t>Об утверждении Порядка разработки и корректировки прогноза социально-экономического развития Красногвардейского муниципального района Ставропольского края на долгосрочный период</w:t>
      </w:r>
      <w:r>
        <w:t>»;</w:t>
      </w:r>
    </w:p>
    <w:p w:rsidR="00A25B73" w:rsidRDefault="00A25B73" w:rsidP="00D3338F">
      <w:pPr>
        <w:suppressAutoHyphens/>
        <w:ind w:firstLine="709"/>
        <w:jc w:val="both"/>
        <w:rPr>
          <w:sz w:val="28"/>
          <w:szCs w:val="28"/>
        </w:rPr>
      </w:pPr>
      <w:r w:rsidRPr="00572F0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572F0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72F0A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572F0A">
        <w:rPr>
          <w:sz w:val="28"/>
          <w:szCs w:val="28"/>
        </w:rPr>
        <w:t xml:space="preserve"> года №</w:t>
      </w:r>
      <w:r w:rsidR="00F70A22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  <w:r w:rsidRPr="00572F0A">
        <w:rPr>
          <w:sz w:val="28"/>
          <w:szCs w:val="28"/>
        </w:rPr>
        <w:t xml:space="preserve"> «</w:t>
      </w:r>
      <w:r w:rsidRPr="002326E9">
        <w:rPr>
          <w:sz w:val="28"/>
          <w:szCs w:val="28"/>
        </w:rPr>
        <w:t>О внесении изменений в Порядок разработки и корректировки прогноза социально-экономического развития Красногвардейского муниципального района Ставропольского края на долгосрочный период, утвержденный постановлением администрации Красногвардейского муниципального района Ставропольского края от 16 октября 2015 года №</w:t>
      </w:r>
      <w:r w:rsidR="00F70A22">
        <w:rPr>
          <w:sz w:val="28"/>
          <w:szCs w:val="28"/>
        </w:rPr>
        <w:t xml:space="preserve"> </w:t>
      </w:r>
      <w:r w:rsidRPr="002326E9">
        <w:rPr>
          <w:sz w:val="28"/>
          <w:szCs w:val="28"/>
        </w:rPr>
        <w:t>438</w:t>
      </w:r>
      <w:r w:rsidRPr="00572F0A">
        <w:rPr>
          <w:sz w:val="28"/>
          <w:szCs w:val="28"/>
        </w:rPr>
        <w:t>».</w:t>
      </w:r>
    </w:p>
    <w:p w:rsidR="00D3338F" w:rsidRDefault="00D3338F" w:rsidP="00D3338F">
      <w:pPr>
        <w:suppressAutoHyphens/>
        <w:ind w:firstLine="709"/>
        <w:jc w:val="both"/>
        <w:rPr>
          <w:sz w:val="28"/>
          <w:szCs w:val="28"/>
        </w:rPr>
      </w:pPr>
    </w:p>
    <w:p w:rsidR="0010529B" w:rsidRDefault="00EA00AC" w:rsidP="00D333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29B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- руководителя управления сельского хозяйства и охраны окружающей среды администрации Красногвардейского муниципального округа Ставропольского края Куликова В.И.</w:t>
      </w:r>
    </w:p>
    <w:p w:rsidR="00D3338F" w:rsidRPr="0010529B" w:rsidRDefault="00D3338F" w:rsidP="00D333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F25FB" w:rsidRPr="0010529B" w:rsidRDefault="00EA00AC" w:rsidP="00D333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29B">
        <w:rPr>
          <w:sz w:val="28"/>
          <w:szCs w:val="28"/>
        </w:rPr>
        <w:lastRenderedPageBreak/>
        <w:t>4</w:t>
      </w:r>
      <w:r w:rsidR="00AF25FB" w:rsidRPr="0010529B">
        <w:rPr>
          <w:sz w:val="28"/>
          <w:szCs w:val="28"/>
        </w:rPr>
        <w:t xml:space="preserve">. Настоящее постановление вступает в силу </w:t>
      </w:r>
      <w:r w:rsidR="0010529B">
        <w:rPr>
          <w:sz w:val="28"/>
          <w:szCs w:val="28"/>
        </w:rPr>
        <w:t>после его официального опубликования (обнародования)</w:t>
      </w:r>
      <w:r w:rsidR="00AF25FB" w:rsidRPr="0010529B">
        <w:rPr>
          <w:sz w:val="28"/>
          <w:szCs w:val="28"/>
        </w:rPr>
        <w:t>.</w:t>
      </w:r>
    </w:p>
    <w:p w:rsidR="00AF25FB" w:rsidRDefault="00AF25FB" w:rsidP="00D3338F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AF25FB" w:rsidRDefault="00AF25FB" w:rsidP="00D3338F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D3338F" w:rsidRDefault="00D3338F" w:rsidP="00D3338F">
      <w:pPr>
        <w:tabs>
          <w:tab w:val="left" w:pos="14742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449"/>
        <w:gridCol w:w="1924"/>
        <w:gridCol w:w="2197"/>
      </w:tblGrid>
      <w:tr w:rsidR="00AF25FB" w:rsidRPr="00B9185D" w:rsidTr="00AF25FB">
        <w:trPr>
          <w:trHeight w:val="876"/>
        </w:trPr>
        <w:tc>
          <w:tcPr>
            <w:tcW w:w="2847" w:type="pct"/>
            <w:hideMark/>
          </w:tcPr>
          <w:p w:rsidR="00AF25FB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Глава Красногвардейского</w:t>
            </w:r>
          </w:p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:rsidR="00AF25FB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D3338F" w:rsidRDefault="00D3338F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D3338F" w:rsidRDefault="00D3338F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D3338F" w:rsidRPr="00B9185D" w:rsidRDefault="00D3338F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</w:p>
          <w:p w:rsidR="00AF25FB" w:rsidRPr="00BA58AF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:rsidR="00AF25FB" w:rsidRPr="00B9185D" w:rsidRDefault="00AF25FB" w:rsidP="00D3338F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84D8A" w:rsidRDefault="00084D8A" w:rsidP="00154150">
      <w:pPr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У</w:t>
      </w:r>
      <w:r w:rsidR="00D3338F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</w:p>
    <w:p w:rsidR="008505D1" w:rsidRDefault="00084D8A" w:rsidP="00154150">
      <w:pPr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Красногвардейского муниципального округа Ставропольского края </w:t>
      </w:r>
    </w:p>
    <w:p w:rsidR="00084D8A" w:rsidRDefault="00084D8A" w:rsidP="00154150">
      <w:pPr>
        <w:spacing w:line="24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338F">
        <w:rPr>
          <w:sz w:val="28"/>
          <w:szCs w:val="28"/>
        </w:rPr>
        <w:t>12 октября 2021 г.</w:t>
      </w:r>
      <w:r>
        <w:rPr>
          <w:sz w:val="28"/>
          <w:szCs w:val="28"/>
        </w:rPr>
        <w:t xml:space="preserve"> №</w:t>
      </w:r>
      <w:r w:rsidR="00154150">
        <w:rPr>
          <w:sz w:val="28"/>
          <w:szCs w:val="28"/>
        </w:rPr>
        <w:t xml:space="preserve"> 976</w:t>
      </w:r>
    </w:p>
    <w:p w:rsidR="00084D8A" w:rsidRDefault="00084D8A" w:rsidP="00154150">
      <w:pPr>
        <w:spacing w:line="240" w:lineRule="exact"/>
        <w:ind w:firstLine="567"/>
        <w:rPr>
          <w:sz w:val="28"/>
          <w:szCs w:val="28"/>
        </w:rPr>
      </w:pPr>
    </w:p>
    <w:p w:rsidR="00084D8A" w:rsidRDefault="00084D8A" w:rsidP="00154150">
      <w:pPr>
        <w:spacing w:line="240" w:lineRule="exact"/>
        <w:ind w:firstLine="567"/>
        <w:jc w:val="center"/>
        <w:rPr>
          <w:sz w:val="28"/>
          <w:szCs w:val="28"/>
        </w:rPr>
      </w:pPr>
    </w:p>
    <w:p w:rsidR="00154150" w:rsidRDefault="00154150" w:rsidP="00154150">
      <w:pPr>
        <w:spacing w:line="240" w:lineRule="exact"/>
        <w:ind w:firstLine="567"/>
        <w:jc w:val="center"/>
        <w:rPr>
          <w:sz w:val="28"/>
          <w:szCs w:val="28"/>
        </w:rPr>
      </w:pPr>
    </w:p>
    <w:p w:rsidR="00154150" w:rsidRDefault="00154150" w:rsidP="00154150">
      <w:pPr>
        <w:spacing w:line="240" w:lineRule="exact"/>
        <w:ind w:firstLine="567"/>
        <w:jc w:val="center"/>
        <w:rPr>
          <w:sz w:val="28"/>
          <w:szCs w:val="28"/>
        </w:rPr>
      </w:pPr>
    </w:p>
    <w:p w:rsidR="00641BB0" w:rsidRPr="00CB24B3" w:rsidRDefault="00641BB0" w:rsidP="00154150">
      <w:pPr>
        <w:spacing w:line="240" w:lineRule="exact"/>
        <w:jc w:val="center"/>
        <w:rPr>
          <w:sz w:val="28"/>
          <w:szCs w:val="28"/>
        </w:rPr>
      </w:pPr>
      <w:r w:rsidRPr="00CB24B3">
        <w:rPr>
          <w:sz w:val="28"/>
          <w:szCs w:val="28"/>
        </w:rPr>
        <w:t>ПОРЯДОК</w:t>
      </w:r>
    </w:p>
    <w:p w:rsidR="00641BB0" w:rsidRPr="00CB24B3" w:rsidRDefault="00641BB0" w:rsidP="001541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B24B3">
        <w:rPr>
          <w:sz w:val="28"/>
          <w:szCs w:val="28"/>
        </w:rPr>
        <w:t>азработки</w:t>
      </w:r>
      <w:r>
        <w:rPr>
          <w:sz w:val="28"/>
          <w:szCs w:val="28"/>
        </w:rPr>
        <w:t>,</w:t>
      </w:r>
      <w:r w:rsidRPr="00CB24B3">
        <w:rPr>
          <w:sz w:val="28"/>
          <w:szCs w:val="28"/>
        </w:rPr>
        <w:t xml:space="preserve"> корректировки</w:t>
      </w:r>
      <w:r>
        <w:rPr>
          <w:sz w:val="28"/>
          <w:szCs w:val="28"/>
        </w:rPr>
        <w:t>, осуществления мониторинга и контроля реализации</w:t>
      </w:r>
      <w:r w:rsidRPr="00CB24B3">
        <w:rPr>
          <w:sz w:val="28"/>
          <w:szCs w:val="28"/>
        </w:rPr>
        <w:t xml:space="preserve"> прогноза социально-экономического развития Красногвардейского муниципального </w:t>
      </w:r>
      <w:r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 на долгосрочный период</w:t>
      </w:r>
    </w:p>
    <w:p w:rsidR="00641BB0" w:rsidRPr="00CB24B3" w:rsidRDefault="00641BB0" w:rsidP="00154150">
      <w:pPr>
        <w:spacing w:line="240" w:lineRule="exact"/>
        <w:jc w:val="center"/>
        <w:rPr>
          <w:sz w:val="28"/>
          <w:szCs w:val="28"/>
        </w:rPr>
      </w:pPr>
    </w:p>
    <w:p w:rsidR="00641BB0" w:rsidRPr="00CB24B3" w:rsidRDefault="00641BB0" w:rsidP="00641BB0">
      <w:pPr>
        <w:ind w:firstLine="567"/>
        <w:jc w:val="both"/>
        <w:rPr>
          <w:sz w:val="28"/>
          <w:szCs w:val="28"/>
        </w:rPr>
      </w:pPr>
      <w:r w:rsidRPr="00CB24B3">
        <w:rPr>
          <w:sz w:val="28"/>
          <w:szCs w:val="28"/>
        </w:rPr>
        <w:t xml:space="preserve">1. 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Красногвардейского муниципального </w:t>
      </w:r>
      <w:r w:rsidR="00B40D1B"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 на долгосрочный период.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2. Прогноз социально-экономического развития Красногвардейского муниципального </w:t>
      </w:r>
      <w:r w:rsidR="00B40D1B">
        <w:t>округа</w:t>
      </w:r>
      <w:r w:rsidRPr="00CB24B3">
        <w:t xml:space="preserve"> Ставропольского края на долгосрочный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Красногвардейского муниципального </w:t>
      </w:r>
      <w:r w:rsidR="00B40D1B">
        <w:t>округа</w:t>
      </w:r>
      <w:r w:rsidRPr="00CB24B3">
        <w:t xml:space="preserve"> Ставропольского края, разрабатываемый на вариативной основе каждые три года на шесть и более лет (далее – прогноз развития </w:t>
      </w:r>
      <w:r w:rsidR="008F1E2E">
        <w:t xml:space="preserve">Красногвардейского </w:t>
      </w:r>
      <w:r w:rsidR="00B40D1B">
        <w:t>округа</w:t>
      </w:r>
      <w:r w:rsidRPr="00CB24B3">
        <w:t xml:space="preserve"> на долгосрочный период). </w:t>
      </w:r>
    </w:p>
    <w:p w:rsidR="00641BB0" w:rsidRPr="00CB24B3" w:rsidRDefault="00641BB0" w:rsidP="00F936BC">
      <w:pPr>
        <w:pStyle w:val="ConsPlusNormal"/>
        <w:ind w:firstLine="567"/>
        <w:jc w:val="both"/>
      </w:pPr>
      <w:r w:rsidRPr="00CB24B3">
        <w:t xml:space="preserve">3. Прогноз развития </w:t>
      </w:r>
      <w:r w:rsidR="008F1E2E">
        <w:t xml:space="preserve">Красногвардейского </w:t>
      </w:r>
      <w:r w:rsidR="00B40D1B">
        <w:t>округа</w:t>
      </w:r>
      <w:r w:rsidRPr="00CB24B3">
        <w:t xml:space="preserve"> на долгосрочный период разрабатывается в трех обязательных вариантах и формируется в целом по </w:t>
      </w:r>
      <w:r w:rsidR="008F1E2E">
        <w:t>Красногвардейскому муниципальному округу Ставропольского края (далее – Красногвардейский округ)</w:t>
      </w:r>
      <w:r w:rsidRPr="00CB24B3">
        <w:t xml:space="preserve"> по отдельным в</w:t>
      </w:r>
      <w:r w:rsidR="008F1E2E">
        <w:t>идам экономической деятельности.</w:t>
      </w:r>
    </w:p>
    <w:p w:rsidR="00F936BC" w:rsidRDefault="00F936BC" w:rsidP="00F936BC">
      <w:pPr>
        <w:pStyle w:val="ConsPlusNormal"/>
        <w:ind w:firstLine="540"/>
        <w:jc w:val="both"/>
      </w:pPr>
      <w:r>
        <w:t>Базовый вариант прогноза развития Красногвардейского округа на долгосрочный период основан на консервативных оценках темпов социально-экономического развития Российской Федерации, Ставропольского края и Красногвардейского округа при сохранении основных тенденций изменения эффективности использования ресурсов.</w:t>
      </w:r>
    </w:p>
    <w:p w:rsidR="00F936BC" w:rsidRDefault="00F936BC" w:rsidP="00F936BC">
      <w:pPr>
        <w:pStyle w:val="ConsPlusNormal"/>
        <w:ind w:firstLine="540"/>
        <w:jc w:val="both"/>
      </w:pPr>
      <w:r>
        <w:t xml:space="preserve">Консервативный вариант прогноза развития Красногвардейского округа на долгосрочный период разрабатывается на основе консервативных оценок </w:t>
      </w:r>
      <w:r>
        <w:lastRenderedPageBreak/>
        <w:t>темпов социально-экономического развития Российской Федерации, Ставропольского края и Красногвардейского округа</w:t>
      </w:r>
      <w:r w:rsidRPr="00CB24B3">
        <w:t xml:space="preserve"> </w:t>
      </w:r>
      <w:r>
        <w:t>с учетом существенного ухудшения внешнеэкономических и иных условий.</w:t>
      </w:r>
    </w:p>
    <w:p w:rsidR="00F936BC" w:rsidRDefault="00F936BC" w:rsidP="00F936BC">
      <w:pPr>
        <w:pStyle w:val="ConsPlusNormal"/>
        <w:ind w:firstLine="540"/>
        <w:jc w:val="both"/>
      </w:pPr>
      <w:r>
        <w:t>Целевой вариант прогноза развития Красногвардейского округа на долгосрочный период основан на достижении целевых показателей социально-экономического развития Российской Федерации, Ставропольского края и Красногвардейского округа, учитывающих в полном объеме достижение целей и решение задач стратегического планирования Российской Федерации, Ставропольского края и Красногвардейского округа при консервативных внешнеэкономических условиях.</w:t>
      </w:r>
    </w:p>
    <w:p w:rsidR="00641BB0" w:rsidRPr="00CB24B3" w:rsidRDefault="00641BB0" w:rsidP="00F936BC">
      <w:pPr>
        <w:pStyle w:val="ConsPlusNormal"/>
        <w:ind w:firstLine="567"/>
        <w:jc w:val="both"/>
      </w:pPr>
      <w:r w:rsidRPr="00CB24B3">
        <w:t xml:space="preserve">4. Прогноз развития </w:t>
      </w:r>
      <w:r w:rsidR="00F936BC">
        <w:t>Красногвардейского округа</w:t>
      </w:r>
      <w:r w:rsidRPr="00CB24B3">
        <w:t xml:space="preserve"> на долгосрочный период разрабатывается на основе:</w:t>
      </w:r>
    </w:p>
    <w:p w:rsidR="00641BB0" w:rsidRPr="00CB24B3" w:rsidRDefault="00641BB0" w:rsidP="00F936BC">
      <w:pPr>
        <w:pStyle w:val="ConsPlusNormal"/>
        <w:ind w:firstLine="567"/>
        <w:jc w:val="both"/>
      </w:pPr>
      <w:r w:rsidRPr="00CB24B3">
        <w:t xml:space="preserve">1) статистических отчетных данных о социально-экономическом развитии </w:t>
      </w:r>
      <w:r w:rsidR="00F936BC">
        <w:t>Красногвардейского округа</w:t>
      </w:r>
      <w:r w:rsidRPr="00CB24B3">
        <w:t xml:space="preserve"> за предыдущие годы и оценки социально- экономического развития </w:t>
      </w:r>
      <w:r w:rsidR="00F936BC">
        <w:t>Красногвардейского округа</w:t>
      </w:r>
      <w:r w:rsidR="00F936BC" w:rsidRPr="00CB24B3">
        <w:t xml:space="preserve"> </w:t>
      </w:r>
      <w:r w:rsidRPr="00CB24B3">
        <w:t>до конца текущего финансового года;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>2)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Федерации;</w:t>
      </w:r>
    </w:p>
    <w:p w:rsidR="00641BB0" w:rsidRPr="00CB24B3" w:rsidRDefault="00F936BC" w:rsidP="00641BB0">
      <w:pPr>
        <w:pStyle w:val="ConsPlusNormal"/>
        <w:ind w:firstLine="567"/>
        <w:jc w:val="both"/>
      </w:pPr>
      <w:r>
        <w:t>3</w:t>
      </w:r>
      <w:r w:rsidR="00641BB0" w:rsidRPr="00CB24B3">
        <w:t xml:space="preserve">) данных, необходимых для формирования прогноза развития </w:t>
      </w:r>
      <w:r>
        <w:t>Красногвардейского округа</w:t>
      </w:r>
      <w:r w:rsidR="00641BB0" w:rsidRPr="00CB24B3">
        <w:t xml:space="preserve"> на долгосрочный период, представляемых </w:t>
      </w:r>
      <w:r w:rsidR="00193017">
        <w:t>отделами, управлениями, комитетами</w:t>
      </w:r>
      <w:r w:rsidR="00641BB0" w:rsidRPr="00CB24B3">
        <w:t xml:space="preserve"> администрации Красногвардейского муниципального </w:t>
      </w:r>
      <w:r w:rsidR="00F92EF7">
        <w:t>округа</w:t>
      </w:r>
      <w:r w:rsidR="00641BB0" w:rsidRPr="00CB24B3">
        <w:t xml:space="preserve"> Ставропольского края, государственными учреждениями, расположенными на территории </w:t>
      </w:r>
      <w:r w:rsidR="00813B6B">
        <w:t>К</w:t>
      </w:r>
      <w:r w:rsidR="00641BB0" w:rsidRPr="00CB24B3">
        <w:t xml:space="preserve">расногвардейского </w:t>
      </w:r>
      <w:r w:rsidR="00813B6B">
        <w:t>округа</w:t>
      </w:r>
      <w:r w:rsidR="00641BB0" w:rsidRPr="00CB24B3">
        <w:t xml:space="preserve">, являющимися субъектами прогнозирования социально-экономического развития </w:t>
      </w:r>
      <w:r w:rsidR="00813B6B">
        <w:t>Красногвардейского округа</w:t>
      </w:r>
      <w:r w:rsidR="00641BB0" w:rsidRPr="00CB24B3">
        <w:t xml:space="preserve"> на долгосрочный период, по перечню согласно приложению 1 к настоящему Порядку (далее — субъекты прогнозирования).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5. Прогноз развития </w:t>
      </w:r>
      <w:r w:rsidR="00813B6B">
        <w:t>Красногвардейского округа</w:t>
      </w:r>
      <w:r w:rsidRPr="00CB24B3">
        <w:t xml:space="preserve"> на долгосрочный период содержит: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1)</w:t>
      </w:r>
      <w:r w:rsidRPr="00CB24B3">
        <w:tab/>
        <w:t xml:space="preserve">оценку достигнутого уровня социально-экономического развития </w:t>
      </w:r>
      <w:r w:rsidR="00813B6B">
        <w:t>Красногвардейского округа</w:t>
      </w:r>
      <w:r w:rsidRPr="00CB24B3">
        <w:t>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2)</w:t>
      </w:r>
      <w:r w:rsidRPr="00CB24B3">
        <w:tab/>
        <w:t xml:space="preserve">определение вариантов внутренних условий и характеристик социально-экономического развития </w:t>
      </w:r>
      <w:r w:rsidR="00813B6B">
        <w:t>Красногвардейского округа</w:t>
      </w:r>
      <w:r w:rsidRPr="00CB24B3">
        <w:t xml:space="preserve"> на долгосрочный период, включая основные показатели демографического </w:t>
      </w:r>
      <w:r w:rsidR="00B32DF7">
        <w:t>развития</w:t>
      </w:r>
      <w:r w:rsidRPr="00CB24B3">
        <w:t>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3)</w:t>
      </w:r>
      <w:r w:rsidRPr="00CB24B3">
        <w:tab/>
        <w:t xml:space="preserve">оценку факторов и ограничений экономического роста </w:t>
      </w:r>
      <w:r w:rsidR="00813B6B">
        <w:t>Красногвардейского округа</w:t>
      </w:r>
      <w:r w:rsidRPr="00CB24B3">
        <w:t xml:space="preserve"> на долгосрочный период;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4)</w:t>
      </w:r>
      <w:r w:rsidRPr="00CB24B3">
        <w:tab/>
        <w:t xml:space="preserve">направления социально-экономического развития </w:t>
      </w:r>
      <w:r w:rsidR="00813B6B">
        <w:t>Красногвардейского округа</w:t>
      </w:r>
      <w:r w:rsidR="00813B6B" w:rsidRPr="00CB24B3">
        <w:t xml:space="preserve"> </w:t>
      </w:r>
      <w:r w:rsidRPr="00CB24B3">
        <w:t xml:space="preserve">и целевые показатели социально-экономического развития </w:t>
      </w:r>
      <w:r w:rsidR="00813B6B">
        <w:t>Красногвардейского округа</w:t>
      </w:r>
      <w:r w:rsidRPr="00CB24B3">
        <w:t xml:space="preserve"> (далее - целевые показатели) по вариантам прогноза развития </w:t>
      </w:r>
      <w:r w:rsidR="00813B6B">
        <w:t>Красногвардейского округа</w:t>
      </w:r>
      <w:r w:rsidRPr="00CB24B3"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lastRenderedPageBreak/>
        <w:t>5)</w:t>
      </w:r>
      <w:r w:rsidRPr="00CB24B3">
        <w:tab/>
        <w:t xml:space="preserve">основные параметры муниципальных программ </w:t>
      </w:r>
      <w:r w:rsidR="00813B6B">
        <w:t>Красногвардейского округа</w:t>
      </w:r>
      <w:r w:rsidRPr="00CB24B3">
        <w:t>;</w:t>
      </w:r>
    </w:p>
    <w:p w:rsidR="00813B6B" w:rsidRDefault="00641BB0" w:rsidP="00813B6B">
      <w:pPr>
        <w:pStyle w:val="ConsPlusNormal"/>
        <w:tabs>
          <w:tab w:val="left" w:pos="1134"/>
        </w:tabs>
        <w:ind w:firstLine="567"/>
        <w:jc w:val="both"/>
      </w:pPr>
      <w:r w:rsidRPr="00CB24B3">
        <w:t>6)</w:t>
      </w:r>
      <w:r w:rsidRPr="00CB24B3">
        <w:tab/>
        <w:t xml:space="preserve">основные целевые показатели по отдельным видам экономической деятельности, </w:t>
      </w:r>
      <w:r w:rsidRPr="00E7721A">
        <w:t xml:space="preserve">с учетом проведения основных мероприятий, предусмотренных муниципальными программами </w:t>
      </w:r>
      <w:r w:rsidR="00E7721A" w:rsidRPr="00E7721A">
        <w:t>Красногвардейского</w:t>
      </w:r>
      <w:r w:rsidR="008505D1">
        <w:t xml:space="preserve"> округа;</w:t>
      </w:r>
    </w:p>
    <w:p w:rsidR="008505D1" w:rsidRDefault="008505D1" w:rsidP="00813B6B">
      <w:pPr>
        <w:pStyle w:val="ConsPlusNormal"/>
        <w:tabs>
          <w:tab w:val="left" w:pos="1134"/>
        </w:tabs>
        <w:ind w:firstLine="567"/>
        <w:jc w:val="both"/>
      </w:pPr>
      <w:r>
        <w:t>7) прогноз баланса трудовых ресурсов Красногвардейского округа.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6. Прогноз развития </w:t>
      </w:r>
      <w:r w:rsidR="00813B6B">
        <w:t>Красногвардейского округа</w:t>
      </w:r>
      <w:r w:rsidRPr="00CB24B3">
        <w:t xml:space="preserve"> на долгосрочный период составляется в виде таблицы отчетных и прогнозных значений целевых показателей социально</w:t>
      </w:r>
      <w:r w:rsidR="00193017">
        <w:t xml:space="preserve"> </w:t>
      </w:r>
      <w:r w:rsidRPr="00CB24B3">
        <w:t xml:space="preserve">- экономического развития </w:t>
      </w:r>
      <w:r w:rsidR="00813B6B">
        <w:t>Красногвардейского округа</w:t>
      </w:r>
      <w:r w:rsidRPr="00CB24B3">
        <w:t xml:space="preserve"> на долгосрочный период по форме согласно приложению 2 к настоящему Порядку (далее - форма представления прогноза развития </w:t>
      </w:r>
      <w:r w:rsidR="00813B6B">
        <w:t>Красногвардейского округа</w:t>
      </w:r>
      <w:r w:rsidRPr="00CB24B3">
        <w:t xml:space="preserve"> на долгосрочный период) и пояснительной записки к прогнозу развития </w:t>
      </w:r>
      <w:r w:rsidR="00813B6B">
        <w:t>Красногвардейского округа</w:t>
      </w:r>
      <w:r w:rsidRPr="00CB24B3">
        <w:t xml:space="preserve"> на долгосрочный период (далее - пояснительная записка).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Пояснительная записка должна содержать обоснование значений целевых показателей на долгосрочный период и отражать возможности и степень выполнения стратегических целей социально-экономического развития </w:t>
      </w:r>
      <w:r w:rsidR="00813B6B">
        <w:t>Красногвардейского округа</w:t>
      </w:r>
      <w:r w:rsidRPr="00CB24B3">
        <w:t>.</w:t>
      </w:r>
    </w:p>
    <w:p w:rsidR="00941FA8" w:rsidRPr="00941FA8" w:rsidRDefault="00641BB0" w:rsidP="00941FA8">
      <w:pPr>
        <w:pStyle w:val="ConsPlusNormal"/>
        <w:ind w:firstLine="567"/>
        <w:jc w:val="both"/>
      </w:pPr>
      <w:r w:rsidRPr="00CB24B3">
        <w:t xml:space="preserve">7. В случае </w:t>
      </w:r>
      <w:r w:rsidRPr="00941FA8">
        <w:t>отсутствия сведений о фактических значениях целевых показателей учитывается их прогнозная оценка.</w:t>
      </w:r>
    </w:p>
    <w:p w:rsidR="00941FA8" w:rsidRDefault="00941FA8" w:rsidP="00941FA8">
      <w:pPr>
        <w:pStyle w:val="ConsPlusNormal"/>
        <w:ind w:firstLine="567"/>
        <w:jc w:val="both"/>
      </w:pPr>
      <w:r w:rsidRPr="00941FA8">
        <w:t xml:space="preserve">8. Субъекты прогнозирования в соответствии с </w:t>
      </w:r>
      <w:hyperlink w:anchor="P1263" w:history="1">
        <w:r w:rsidRPr="00941FA8">
          <w:t>распределением</w:t>
        </w:r>
      </w:hyperlink>
      <w:r w:rsidRPr="00941FA8">
        <w:t xml:space="preserve"> целевых показателей социально-экономического развития </w:t>
      </w:r>
      <w:r>
        <w:t>Красногвардейского округа</w:t>
      </w:r>
      <w:r w:rsidRPr="00CB24B3">
        <w:t xml:space="preserve"> </w:t>
      </w:r>
      <w:r w:rsidRPr="00941FA8">
        <w:t xml:space="preserve">на долгосрочный период, представляемых </w:t>
      </w:r>
      <w:r w:rsidR="00193017">
        <w:t>отделами, управлениями, комитетами</w:t>
      </w:r>
      <w:r w:rsidRPr="00941FA8">
        <w:t xml:space="preserve"> </w:t>
      </w:r>
      <w:r w:rsidR="009F21FD" w:rsidRPr="00CB24B3">
        <w:t xml:space="preserve">администрации Красногвардейского муниципального </w:t>
      </w:r>
      <w:r w:rsidR="009F21FD">
        <w:t>округа</w:t>
      </w:r>
      <w:r w:rsidR="009F21FD" w:rsidRPr="00CB24B3">
        <w:t xml:space="preserve"> Ставропольского края, государственными учреждениями, расположенными на территории </w:t>
      </w:r>
      <w:r w:rsidR="009F21FD">
        <w:t>К</w:t>
      </w:r>
      <w:r w:rsidR="009F21FD" w:rsidRPr="00CB24B3">
        <w:t xml:space="preserve">расногвардейского </w:t>
      </w:r>
      <w:r w:rsidR="009F21FD">
        <w:t>округа</w:t>
      </w:r>
      <w:r w:rsidR="009F21FD" w:rsidRPr="00941FA8">
        <w:t xml:space="preserve"> </w:t>
      </w:r>
      <w:r w:rsidRPr="00941FA8">
        <w:t>для разработки</w:t>
      </w:r>
      <w:r>
        <w:t xml:space="preserve"> прогноза социально-экономического развития </w:t>
      </w:r>
      <w:r w:rsidR="009F21FD">
        <w:t>К</w:t>
      </w:r>
      <w:r w:rsidR="009F21FD" w:rsidRPr="00CB24B3">
        <w:t xml:space="preserve">расногвардейского </w:t>
      </w:r>
      <w:r w:rsidR="009F21FD">
        <w:t>округа</w:t>
      </w:r>
      <w:r w:rsidR="009F21FD" w:rsidRPr="00941FA8">
        <w:t xml:space="preserve"> </w:t>
      </w:r>
      <w:r>
        <w:t xml:space="preserve">на долгосрочный период, согласно приложению 3 к настоящему Порядку (далее - распределение показателей) представляют в </w:t>
      </w:r>
      <w:r w:rsidR="009F21FD">
        <w:t>отдел</w:t>
      </w:r>
      <w:r>
        <w:t xml:space="preserve"> экономического развития </w:t>
      </w:r>
      <w:r w:rsidR="009F21FD">
        <w:t xml:space="preserve">администрации Красногвардейского муниципального округа </w:t>
      </w:r>
      <w:r>
        <w:t xml:space="preserve">Ставропольского края (далее </w:t>
      </w:r>
      <w:r w:rsidR="009F21FD">
        <w:t>–</w:t>
      </w:r>
      <w:r>
        <w:t xml:space="preserve"> </w:t>
      </w:r>
      <w:r w:rsidR="009F21FD">
        <w:t>отдел экономического развития</w:t>
      </w:r>
      <w:r>
        <w:t xml:space="preserve">) данные, необходимые для разработки прогноза развития </w:t>
      </w:r>
      <w:r w:rsidR="009F21FD">
        <w:t>Красногвардейского округа</w:t>
      </w:r>
      <w:r>
        <w:t xml:space="preserve"> на долгосрочный период, по форме представления прогноза развития </w:t>
      </w:r>
      <w:r w:rsidR="009F21FD">
        <w:t>Красногвардейского округа</w:t>
      </w:r>
      <w:r>
        <w:t xml:space="preserve"> на долгосрочный период и пояснительную записку в сроки, ежегодно устанавливаемые </w:t>
      </w:r>
      <w:r w:rsidR="009F21FD">
        <w:t>отделом экономического развития</w:t>
      </w:r>
      <w:r>
        <w:t>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9. Отдел экономического развития обобщает представленные субъектами прогнозирования данные, необходимые для разработки прогноза развития </w:t>
      </w:r>
      <w:r w:rsidR="00E719C9">
        <w:t>К</w:t>
      </w:r>
      <w:r w:rsidR="00E719C9" w:rsidRPr="00CB24B3">
        <w:t xml:space="preserve">расногвардейского </w:t>
      </w:r>
      <w:r w:rsidR="00E719C9">
        <w:t>округа</w:t>
      </w:r>
      <w:r w:rsidRPr="00CB24B3">
        <w:t xml:space="preserve"> на долгосрочный период, и вносит в случае необходимости обоснованные изменения в значения отчетных и </w:t>
      </w:r>
      <w:r w:rsidRPr="00CB24B3">
        <w:lastRenderedPageBreak/>
        <w:t xml:space="preserve">прогнозных целевых показателей прогноза развития </w:t>
      </w:r>
      <w:r w:rsidR="00E719C9">
        <w:t>К</w:t>
      </w:r>
      <w:r w:rsidR="00E719C9" w:rsidRPr="00CB24B3">
        <w:t xml:space="preserve">расногвардейского </w:t>
      </w:r>
      <w:r w:rsidR="00E719C9">
        <w:t>округа</w:t>
      </w:r>
      <w:r w:rsidRPr="00CB24B3">
        <w:t xml:space="preserve"> на долгосрочный период, предварительно проинформировав субъектов прогнозирования о вносимых изменениях.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>10. Субъекты прогнозирования осуществляют: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1)</w:t>
      </w:r>
      <w:r w:rsidRPr="00CB24B3">
        <w:tab/>
        <w:t xml:space="preserve">разработку целевых показателей прогноза развития </w:t>
      </w:r>
      <w:r w:rsidR="00E719C9">
        <w:t>К</w:t>
      </w:r>
      <w:r w:rsidR="00E719C9" w:rsidRPr="00CB24B3">
        <w:t xml:space="preserve">расногвардейского </w:t>
      </w:r>
      <w:r w:rsidR="00E719C9">
        <w:t>округа</w:t>
      </w:r>
      <w:r w:rsidRPr="00CB24B3">
        <w:t xml:space="preserve"> на долгосрочный период в соответствии с распределением показателей;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2)</w:t>
      </w:r>
      <w:r w:rsidRPr="00CB24B3">
        <w:tab/>
        <w:t xml:space="preserve">заполнение формы представления прогноза развития </w:t>
      </w:r>
      <w:r w:rsidR="00E719C9">
        <w:t>К</w:t>
      </w:r>
      <w:r w:rsidR="00E719C9" w:rsidRPr="00CB24B3">
        <w:t xml:space="preserve">расногвардейского </w:t>
      </w:r>
      <w:r w:rsidR="00E719C9">
        <w:t>округа</w:t>
      </w:r>
      <w:r w:rsidRPr="00CB24B3">
        <w:t xml:space="preserve"> на долгосрочный период в соответствии с распределением показателей;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3)</w:t>
      </w:r>
      <w:r w:rsidRPr="00CB24B3">
        <w:tab/>
        <w:t>подготовку пояснительной записки.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11. Отдел экономического развития:</w:t>
      </w:r>
    </w:p>
    <w:p w:rsidR="00641BB0" w:rsidRPr="00CB24B3" w:rsidRDefault="00641BB0" w:rsidP="00641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9C9">
        <w:rPr>
          <w:rFonts w:ascii="Times New Roman" w:hAnsi="Times New Roman" w:cs="Times New Roman"/>
          <w:b w:val="0"/>
          <w:sz w:val="28"/>
          <w:szCs w:val="28"/>
        </w:rPr>
        <w:t>1)</w:t>
      </w:r>
      <w:r w:rsidRPr="00E719C9">
        <w:rPr>
          <w:rFonts w:ascii="Times New Roman" w:hAnsi="Times New Roman" w:cs="Times New Roman"/>
          <w:b w:val="0"/>
          <w:sz w:val="28"/>
          <w:szCs w:val="28"/>
        </w:rPr>
        <w:tab/>
        <w:t xml:space="preserve">проводит общественное обсуждение прогноза развития </w:t>
      </w:r>
      <w:r w:rsidR="00E719C9" w:rsidRPr="00E7721A">
        <w:rPr>
          <w:rFonts w:ascii="Times New Roman" w:hAnsi="Times New Roman" w:cs="Times New Roman"/>
          <w:b w:val="0"/>
          <w:sz w:val="28"/>
          <w:szCs w:val="28"/>
        </w:rPr>
        <w:t>Красногвардейского округа</w:t>
      </w:r>
      <w:r w:rsidRPr="00E7721A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 в соответствии с </w:t>
      </w:r>
      <w:r w:rsidR="00123920" w:rsidRPr="00E7721A">
        <w:rPr>
          <w:rFonts w:ascii="Times New Roman" w:hAnsi="Times New Roman" w:cs="Times New Roman"/>
          <w:b w:val="0"/>
          <w:sz w:val="28"/>
          <w:szCs w:val="28"/>
        </w:rPr>
        <w:t>Порядком общественного обсуждения проектов документов стратегического планирования Красногвардейского муниципального округа Ставропольского края</w:t>
      </w:r>
      <w:r w:rsidR="008505D1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Красногвардейского муниципального округа Ставропольского края</w:t>
      </w:r>
      <w:r w:rsidR="00A265F3">
        <w:rPr>
          <w:rFonts w:ascii="Times New Roman" w:hAnsi="Times New Roman" w:cs="Times New Roman"/>
          <w:b w:val="0"/>
          <w:sz w:val="28"/>
          <w:szCs w:val="28"/>
        </w:rPr>
        <w:t xml:space="preserve"> от 08 октября 2021 года №969</w:t>
      </w:r>
      <w:r w:rsidR="008505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920" w:rsidRPr="00CB24B3" w:rsidRDefault="00123920" w:rsidP="00123920">
      <w:pPr>
        <w:pStyle w:val="ConsPlusNormal"/>
        <w:tabs>
          <w:tab w:val="left" w:pos="993"/>
        </w:tabs>
        <w:ind w:firstLine="567"/>
        <w:jc w:val="both"/>
      </w:pPr>
      <w:r>
        <w:t>2</w:t>
      </w:r>
      <w:r w:rsidRPr="00CB24B3">
        <w:t>)</w:t>
      </w:r>
      <w:r w:rsidRPr="00CB24B3">
        <w:tab/>
        <w:t xml:space="preserve">подготавливает проект правового акта администрации Красногвардейского муниципального </w:t>
      </w:r>
      <w:r>
        <w:t>округа</w:t>
      </w:r>
      <w:r w:rsidRPr="00CB24B3">
        <w:t xml:space="preserve"> Ставропольского края об утверждении прогноза развития </w:t>
      </w:r>
      <w:r>
        <w:t>К</w:t>
      </w:r>
      <w:r w:rsidRPr="00CB24B3">
        <w:t xml:space="preserve">расногвардейского </w:t>
      </w:r>
      <w:r>
        <w:t>округа</w:t>
      </w:r>
      <w:r w:rsidRPr="00CB24B3">
        <w:t xml:space="preserve"> на долгосрочный период и вносит его в установленном порядке на рассмотрение на </w:t>
      </w:r>
      <w:r w:rsidRPr="00E460E6">
        <w:t xml:space="preserve">заседании администрации Красногвардейского муниципального округа </w:t>
      </w:r>
      <w:r w:rsidRPr="00E7721A">
        <w:t xml:space="preserve">Ставропольского края в срок до 01 </w:t>
      </w:r>
      <w:r w:rsidR="007D031B" w:rsidRPr="00E7721A">
        <w:t>декабря</w:t>
      </w:r>
      <w:r w:rsidRPr="00E7721A">
        <w:t xml:space="preserve"> текущего года;</w:t>
      </w:r>
    </w:p>
    <w:p w:rsidR="00641BB0" w:rsidRPr="00123920" w:rsidRDefault="00123920" w:rsidP="0012392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41BB0" w:rsidRPr="00CB24B3">
        <w:rPr>
          <w:rFonts w:ascii="Times New Roman" w:hAnsi="Times New Roman" w:cs="Times New Roman"/>
          <w:b w:val="0"/>
          <w:sz w:val="28"/>
          <w:szCs w:val="28"/>
        </w:rPr>
        <w:t xml:space="preserve">) размещает на официальном сайте органов местного самоуправления Красногвардейского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641BB0" w:rsidRPr="00CB24B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в информационно-телекоммуникационной сети «Интернет» прогноз </w:t>
      </w:r>
      <w:r w:rsidR="00641BB0" w:rsidRPr="00123920"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Pr="00123920">
        <w:rPr>
          <w:rFonts w:ascii="Times New Roman" w:hAnsi="Times New Roman" w:cs="Times New Roman"/>
          <w:b w:val="0"/>
          <w:sz w:val="28"/>
          <w:szCs w:val="28"/>
        </w:rPr>
        <w:t>Красногвардейского округа</w:t>
      </w:r>
      <w:r w:rsidR="00641BB0" w:rsidRPr="00123920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 в течение 5 рабочих дней после его утверждения администрацией Красногвардейского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641BB0" w:rsidRPr="00123920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края;</w:t>
      </w:r>
    </w:p>
    <w:p w:rsidR="00641BB0" w:rsidRPr="00CB24B3" w:rsidRDefault="00E460E6" w:rsidP="00641BB0">
      <w:pPr>
        <w:pStyle w:val="ConsPlusNormal"/>
        <w:ind w:firstLine="567"/>
        <w:jc w:val="both"/>
      </w:pPr>
      <w:r>
        <w:t>4</w:t>
      </w:r>
      <w:r w:rsidR="00641BB0" w:rsidRPr="00123920">
        <w:t xml:space="preserve">) обеспечивает </w:t>
      </w:r>
      <w:r w:rsidR="00123920">
        <w:t xml:space="preserve">государственную </w:t>
      </w:r>
      <w:r w:rsidR="00641BB0" w:rsidRPr="00123920">
        <w:t>регистрацию утвержденного</w:t>
      </w:r>
      <w:r w:rsidR="00641BB0" w:rsidRPr="00CB24B3">
        <w:t xml:space="preserve"> прогноза развития </w:t>
      </w:r>
      <w:r w:rsidR="00123920">
        <w:t>К</w:t>
      </w:r>
      <w:r w:rsidR="00123920" w:rsidRPr="00CB24B3">
        <w:t xml:space="preserve">расногвардейского </w:t>
      </w:r>
      <w:r w:rsidR="00123920">
        <w:t>округа</w:t>
      </w:r>
      <w:r w:rsidR="00641BB0" w:rsidRPr="00CB24B3">
        <w:t xml:space="preserve"> на долгосрочный период </w:t>
      </w:r>
      <w:r w:rsidR="00123920">
        <w:t xml:space="preserve">(изменений в прогноз развития Красногвардейского округа на долгосрочный период) </w:t>
      </w:r>
      <w:r w:rsidR="00641BB0" w:rsidRPr="00CB24B3">
        <w:t xml:space="preserve">в федеральном государственном реестре документов стратегического планирования в соответствии с требованиями Федерального </w:t>
      </w:r>
      <w:hyperlink r:id="rId8" w:history="1">
        <w:r w:rsidR="00641BB0" w:rsidRPr="00CB24B3">
          <w:t>закона</w:t>
        </w:r>
      </w:hyperlink>
      <w:r w:rsidR="00641BB0" w:rsidRPr="00CB24B3">
        <w:t xml:space="preserve"> «О стратегическом планировании в Российской Федерации».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12. Корректировка прогноза развития </w:t>
      </w:r>
      <w:r w:rsidR="00E460E6">
        <w:t xml:space="preserve">Красногвардейского округа </w:t>
      </w:r>
      <w:r w:rsidRPr="00CB24B3">
        <w:t xml:space="preserve">на долгосрочный период осуществляется в соответствии с принятым администрацией Красногвардейского муниципального </w:t>
      </w:r>
      <w:r w:rsidR="000A0077">
        <w:t>округа</w:t>
      </w:r>
      <w:r w:rsidRPr="00CB24B3">
        <w:t xml:space="preserve"> Ставропольского края решением о необходимости корректировки прогноза развития </w:t>
      </w:r>
      <w:r w:rsidR="000A0077">
        <w:t>Красногвардейского округа</w:t>
      </w:r>
      <w:r w:rsidRPr="00CB24B3">
        <w:t xml:space="preserve"> на долгосрочный период с учетом прогноза социально-экономического развития </w:t>
      </w:r>
      <w:r w:rsidR="000A0077">
        <w:t>Красногвардейского округа</w:t>
      </w:r>
      <w:r w:rsidRPr="00CB24B3">
        <w:t xml:space="preserve"> на среднесрочный период.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13. Субъекты прогнозирования </w:t>
      </w:r>
      <w:r w:rsidR="000A0077">
        <w:t xml:space="preserve">в течение 10 рабочих дней </w:t>
      </w:r>
      <w:r w:rsidRPr="00CB24B3">
        <w:t>после принятия администрацией Кра</w:t>
      </w:r>
      <w:r w:rsidR="000A0077">
        <w:t xml:space="preserve">сногвардейского муниципального округа </w:t>
      </w:r>
      <w:r w:rsidRPr="00CB24B3">
        <w:lastRenderedPageBreak/>
        <w:t xml:space="preserve">Ставропольского края решения о необходимости корректировки прогноза развития </w:t>
      </w:r>
      <w:r w:rsidR="000A0077">
        <w:t>Красногвардейского округа</w:t>
      </w:r>
      <w:r w:rsidRPr="00CB24B3">
        <w:t xml:space="preserve"> на долгосрочный период на основе уточненных данных социально-экономического развития </w:t>
      </w:r>
      <w:r w:rsidR="00E71532">
        <w:t>Красногвардейского округа</w:t>
      </w:r>
      <w:r w:rsidRPr="00CB24B3">
        <w:t xml:space="preserve">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муниципальных программ</w:t>
      </w:r>
      <w:r w:rsidR="00E71532">
        <w:t xml:space="preserve"> Красногвардейского округа</w:t>
      </w:r>
      <w:r w:rsidRPr="00CB24B3">
        <w:t xml:space="preserve"> осуществляют корректировку соответствующих разделов формы п</w:t>
      </w:r>
      <w:r w:rsidR="00E71532">
        <w:t>редставления прогноза развития Красногвардейского округа</w:t>
      </w:r>
      <w:r w:rsidRPr="00CB24B3">
        <w:t xml:space="preserve"> на долгосрочный период и пояснительной записки (далее - данные, необходимые для корректировки прогноза развития </w:t>
      </w:r>
      <w:r w:rsidR="00F456DD">
        <w:t>Красногвардейского округа</w:t>
      </w:r>
      <w:r w:rsidRPr="00CB24B3">
        <w:t xml:space="preserve"> на долгосрочный период) и представляют</w:t>
      </w:r>
      <w:r w:rsidR="00F456DD">
        <w:t xml:space="preserve"> данные, необходимые для корректировки прогноза развития Красногвардейского округа на долгосрочный период, в отдел </w:t>
      </w:r>
      <w:r w:rsidRPr="00CB24B3">
        <w:t>экономического развития.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14. Отдел экономического развития </w:t>
      </w:r>
      <w:r w:rsidR="00864B3E" w:rsidRPr="00CB24B3">
        <w:t xml:space="preserve">в течение 10 рабочих дней </w:t>
      </w:r>
      <w:r w:rsidRPr="00CB24B3">
        <w:t xml:space="preserve">обобщает представленные субъектами прогнозирования данные, необходимые для корректировки прогноза развития </w:t>
      </w:r>
      <w:r w:rsidR="00A00D85">
        <w:t>Красногвардейского округа</w:t>
      </w:r>
      <w:r w:rsidRPr="00CB24B3">
        <w:t xml:space="preserve"> на долгосрочный период</w:t>
      </w:r>
      <w:r w:rsidR="00A00D85">
        <w:t>,</w:t>
      </w:r>
      <w:r w:rsidRPr="00CB24B3">
        <w:t xml:space="preserve"> подготавливает проект правового акта </w:t>
      </w:r>
      <w:r w:rsidR="00A00D85">
        <w:t xml:space="preserve">администрации Красногвардейского муниципального округа Ставропольского края </w:t>
      </w:r>
      <w:r w:rsidRPr="00CB24B3">
        <w:t xml:space="preserve">о внесении изменений в прогноз развития </w:t>
      </w:r>
      <w:r w:rsidR="00A00D85">
        <w:t>Красногвардейского округа</w:t>
      </w:r>
      <w:r w:rsidRPr="00CB24B3">
        <w:t xml:space="preserve"> на долгосрочный период и вносит его в установленном порядке на рассмотрение на заседании администрации Красногвардейского муниципального </w:t>
      </w:r>
      <w:r w:rsidR="00A00D85">
        <w:t>округа Ставропольского края.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15. Отдел экономического развития осуществляет мониторинг реализации прогноза развития </w:t>
      </w:r>
      <w:r w:rsidR="00A00D85">
        <w:t>Красногвардейского округа</w:t>
      </w:r>
      <w:r w:rsidRPr="00CB24B3">
        <w:t xml:space="preserve"> на долгосрочный период в форме ежегодного отчета </w:t>
      </w:r>
      <w:r w:rsidR="00A00D85">
        <w:t>о</w:t>
      </w:r>
      <w:r w:rsidRPr="00CB24B3">
        <w:t xml:space="preserve">б итогах социально-экономического развития Красногвардейского муниципального </w:t>
      </w:r>
      <w:r w:rsidR="00A00D85">
        <w:t>округа</w:t>
      </w:r>
      <w:r w:rsidRPr="00CB24B3">
        <w:t xml:space="preserve"> Ставропольского края</w:t>
      </w:r>
      <w:r w:rsidR="00A00D85">
        <w:t xml:space="preserve"> (далее – ежегодный отчет)</w:t>
      </w:r>
      <w:r w:rsidRPr="00CB24B3">
        <w:t>, содержащего следующие показатели и характеристики за отчетный год:</w:t>
      </w:r>
    </w:p>
    <w:p w:rsidR="00641BB0" w:rsidRPr="00CB24B3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1)</w:t>
      </w:r>
      <w:r w:rsidRPr="00CB24B3">
        <w:tab/>
        <w:t>оценка степени достижения запланированных значений целевых показателей на долгосрочный период;</w:t>
      </w:r>
    </w:p>
    <w:p w:rsidR="00641BB0" w:rsidRDefault="00641BB0" w:rsidP="00641BB0">
      <w:pPr>
        <w:pStyle w:val="ConsPlusNormal"/>
        <w:tabs>
          <w:tab w:val="left" w:pos="1134"/>
        </w:tabs>
        <w:ind w:firstLine="567"/>
        <w:jc w:val="both"/>
      </w:pPr>
      <w:r w:rsidRPr="00CB24B3">
        <w:t>2)</w:t>
      </w:r>
      <w:r w:rsidRPr="00CB24B3">
        <w:tab/>
        <w:t xml:space="preserve">оценка уровня социально-экономического развития </w:t>
      </w:r>
      <w:r w:rsidR="00F31301">
        <w:t>Красногвардейского округа</w:t>
      </w:r>
      <w:r w:rsidRPr="00CB24B3">
        <w:t>, проведение анализа, выявление возможных рисков.</w:t>
      </w:r>
    </w:p>
    <w:p w:rsidR="00F31301" w:rsidRPr="00CB24B3" w:rsidRDefault="00F31301" w:rsidP="00641BB0">
      <w:pPr>
        <w:pStyle w:val="ConsPlusNormal"/>
        <w:tabs>
          <w:tab w:val="left" w:pos="1134"/>
        </w:tabs>
        <w:ind w:firstLine="567"/>
        <w:jc w:val="both"/>
      </w:pPr>
      <w:r>
        <w:t xml:space="preserve">Мониторинг осуществляется в сроки, определенные </w:t>
      </w:r>
      <w:r w:rsidR="00E7721A">
        <w:t xml:space="preserve">администрацией Красногвардейского </w:t>
      </w:r>
      <w:r w:rsidR="007300E0">
        <w:t xml:space="preserve">муниципального </w:t>
      </w:r>
      <w:r w:rsidR="00E7721A">
        <w:t>округа</w:t>
      </w:r>
      <w:r w:rsidR="007300E0">
        <w:t xml:space="preserve"> Ставропольского края</w:t>
      </w:r>
      <w:r>
        <w:t>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 xml:space="preserve">Ежегодный отчет подлежит </w:t>
      </w:r>
      <w:r w:rsidRPr="00E7721A">
        <w:t xml:space="preserve">размещению в срок до </w:t>
      </w:r>
      <w:r w:rsidR="00F31301" w:rsidRPr="00E7721A">
        <w:t>31 декабря</w:t>
      </w:r>
      <w:r w:rsidRPr="00E7721A">
        <w:t xml:space="preserve"> </w:t>
      </w:r>
      <w:r w:rsidR="00F31301" w:rsidRPr="00E7721A">
        <w:t>текущего</w:t>
      </w:r>
      <w:r w:rsidRPr="00E7721A">
        <w:t xml:space="preserve"> года на </w:t>
      </w:r>
      <w:r w:rsidR="00F31301" w:rsidRPr="00E7721A">
        <w:t>официальном сайте органов местного самоуправления Красногвардейского муниципального округа</w:t>
      </w:r>
      <w:r w:rsidR="00F31301" w:rsidRPr="00CB24B3">
        <w:t xml:space="preserve"> Ставропольского края в информационно-телекоммуникационной сети «Интернет»</w:t>
      </w:r>
      <w:r w:rsidRPr="00CB24B3">
        <w:t>.</w:t>
      </w:r>
    </w:p>
    <w:p w:rsidR="00871923" w:rsidRPr="00946B5F" w:rsidRDefault="00871923" w:rsidP="0087192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73CF">
        <w:rPr>
          <w:sz w:val="28"/>
          <w:szCs w:val="28"/>
        </w:rPr>
        <w:t xml:space="preserve">Результаты мониторинга прогноза развития </w:t>
      </w:r>
      <w:r>
        <w:rPr>
          <w:sz w:val="28"/>
          <w:szCs w:val="28"/>
        </w:rPr>
        <w:t>Красногвардейского</w:t>
      </w:r>
      <w:r w:rsidRPr="00E973CF">
        <w:rPr>
          <w:sz w:val="28"/>
          <w:szCs w:val="28"/>
        </w:rPr>
        <w:t xml:space="preserve"> округа на долгосрочный период, отраженные в ежегодном отчете, включаются в ежегодный отчет </w:t>
      </w:r>
      <w:r w:rsidR="007300E0">
        <w:rPr>
          <w:sz w:val="28"/>
          <w:szCs w:val="28"/>
        </w:rPr>
        <w:t>Г</w:t>
      </w:r>
      <w:r w:rsidRPr="00E973CF">
        <w:rPr>
          <w:sz w:val="28"/>
          <w:szCs w:val="28"/>
        </w:rPr>
        <w:t xml:space="preserve">лавы </w:t>
      </w:r>
      <w:r>
        <w:rPr>
          <w:sz w:val="28"/>
          <w:szCs w:val="28"/>
        </w:rPr>
        <w:t>Красногвардейского</w:t>
      </w:r>
      <w:r w:rsidRPr="00E973CF">
        <w:rPr>
          <w:sz w:val="28"/>
          <w:szCs w:val="28"/>
        </w:rPr>
        <w:t xml:space="preserve"> муниципального округа Ставропольского края</w:t>
      </w:r>
      <w:r w:rsidRPr="00C209D7">
        <w:rPr>
          <w:sz w:val="28"/>
          <w:szCs w:val="28"/>
        </w:rPr>
        <w:t xml:space="preserve"> о результатах деятельности администрации </w:t>
      </w:r>
      <w:r>
        <w:rPr>
          <w:sz w:val="28"/>
          <w:szCs w:val="28"/>
        </w:rPr>
        <w:t>Красногвардейского</w:t>
      </w:r>
      <w:r w:rsidRPr="00C209D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209D7">
        <w:rPr>
          <w:sz w:val="28"/>
          <w:szCs w:val="28"/>
        </w:rPr>
        <w:t xml:space="preserve"> Ставропольского края и </w:t>
      </w:r>
      <w:r w:rsidRPr="00C209D7">
        <w:rPr>
          <w:sz w:val="28"/>
          <w:szCs w:val="28"/>
        </w:rPr>
        <w:lastRenderedPageBreak/>
        <w:t>сводный годовой доклад</w:t>
      </w:r>
      <w:r w:rsidRPr="00946B5F">
        <w:rPr>
          <w:sz w:val="28"/>
          <w:szCs w:val="28"/>
        </w:rPr>
        <w:t xml:space="preserve"> о ходе реализации и об оценке эффективности </w:t>
      </w:r>
      <w:r>
        <w:rPr>
          <w:sz w:val="28"/>
          <w:szCs w:val="28"/>
        </w:rPr>
        <w:t>муниципальных</w:t>
      </w:r>
      <w:r w:rsidRPr="00946B5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Красногвардейского муниципального округа</w:t>
      </w:r>
      <w:r w:rsidRPr="00946B5F">
        <w:rPr>
          <w:sz w:val="28"/>
          <w:szCs w:val="28"/>
        </w:rPr>
        <w:t xml:space="preserve"> Ставропольского края, которые размещаются на </w:t>
      </w:r>
      <w:r w:rsidR="007300E0">
        <w:rPr>
          <w:sz w:val="28"/>
          <w:szCs w:val="28"/>
        </w:rPr>
        <w:t>общедоступном информационном ресурсе стратегического планирования</w:t>
      </w:r>
      <w:r>
        <w:rPr>
          <w:sz w:val="28"/>
          <w:szCs w:val="28"/>
        </w:rPr>
        <w:t xml:space="preserve"> </w:t>
      </w:r>
      <w:r w:rsidRPr="00494A3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94A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94A3E">
        <w:rPr>
          <w:sz w:val="28"/>
          <w:szCs w:val="28"/>
        </w:rPr>
        <w:t>.</w:t>
      </w:r>
    </w:p>
    <w:p w:rsidR="00641BB0" w:rsidRPr="00CB24B3" w:rsidRDefault="00641BB0" w:rsidP="00641BB0">
      <w:pPr>
        <w:pStyle w:val="ConsPlusNormal"/>
        <w:ind w:firstLine="567"/>
        <w:jc w:val="both"/>
      </w:pPr>
      <w:r w:rsidRPr="00CB24B3">
        <w:t>16. Контроль реализаци</w:t>
      </w:r>
      <w:r w:rsidR="004A2D3F">
        <w:t>и</w:t>
      </w:r>
      <w:r w:rsidRPr="00CB24B3">
        <w:t xml:space="preserve"> прогноза развития </w:t>
      </w:r>
      <w:r w:rsidR="00F31301">
        <w:t>Красногвардейского округа</w:t>
      </w:r>
      <w:r w:rsidRPr="00CB24B3">
        <w:t xml:space="preserve"> на долгосрочный период осуществляется</w:t>
      </w:r>
      <w:r w:rsidR="00F31301">
        <w:t xml:space="preserve"> отделом экономического развития ежегодно на основе</w:t>
      </w:r>
      <w:r w:rsidRPr="00CB24B3">
        <w:t xml:space="preserve"> обобщения информации о</w:t>
      </w:r>
      <w:r w:rsidR="00F31301">
        <w:t>б итогах</w:t>
      </w:r>
      <w:r w:rsidRPr="00CB24B3">
        <w:t xml:space="preserve"> социально- экономическом развитии </w:t>
      </w:r>
      <w:r w:rsidR="00F31301">
        <w:t>Красногвардейского округа</w:t>
      </w:r>
      <w:r w:rsidRPr="00CB24B3">
        <w:t xml:space="preserve"> </w:t>
      </w:r>
      <w:r w:rsidR="004A2D3F">
        <w:t xml:space="preserve">за предыдущий финансовый год </w:t>
      </w:r>
      <w:r w:rsidRPr="00CB24B3">
        <w:t xml:space="preserve">и оценки достижения значений целевых показателей </w:t>
      </w:r>
      <w:r w:rsidR="004A2D3F">
        <w:t>на долгосрочный период в предыдущем финан</w:t>
      </w:r>
      <w:r w:rsidR="007300E0">
        <w:t>совом году в сроки, определяемые администрацией Красногвардейского муниципального округа Ставропольского края</w:t>
      </w:r>
      <w:r w:rsidR="004A2D3F">
        <w:t>.</w:t>
      </w:r>
    </w:p>
    <w:p w:rsidR="00641BB0" w:rsidRDefault="004A2D3F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проведенного контроля реализации прогноза развития Красногвардейского округа на долгосрочный период направляется отделом экономического развития субъектам прогнозирования.</w:t>
      </w:r>
    </w:p>
    <w:p w:rsidR="004A2D3F" w:rsidRDefault="004A2D3F" w:rsidP="00641BB0">
      <w:pPr>
        <w:ind w:firstLine="567"/>
        <w:jc w:val="both"/>
        <w:rPr>
          <w:sz w:val="28"/>
          <w:szCs w:val="28"/>
        </w:rPr>
        <w:sectPr w:rsidR="004A2D3F" w:rsidSect="0015415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41BB0" w:rsidRPr="00CB24B3" w:rsidRDefault="00641BB0" w:rsidP="00154150">
      <w:pPr>
        <w:spacing w:line="240" w:lineRule="exact"/>
        <w:ind w:left="4253"/>
        <w:rPr>
          <w:sz w:val="28"/>
          <w:szCs w:val="28"/>
        </w:rPr>
      </w:pPr>
      <w:r w:rsidRPr="00CB24B3">
        <w:rPr>
          <w:sz w:val="28"/>
          <w:szCs w:val="28"/>
        </w:rPr>
        <w:lastRenderedPageBreak/>
        <w:t>Приложение 1</w:t>
      </w:r>
    </w:p>
    <w:p w:rsidR="00641BB0" w:rsidRPr="00CB24B3" w:rsidRDefault="00641BB0" w:rsidP="00154150">
      <w:pPr>
        <w:shd w:val="clear" w:color="auto" w:fill="FFFFFF"/>
        <w:spacing w:line="240" w:lineRule="exact"/>
        <w:ind w:left="4253"/>
        <w:rPr>
          <w:color w:val="000000"/>
          <w:sz w:val="28"/>
          <w:szCs w:val="28"/>
        </w:rPr>
      </w:pPr>
      <w:r w:rsidRPr="00CB24B3">
        <w:rPr>
          <w:color w:val="000000"/>
          <w:spacing w:val="1"/>
          <w:sz w:val="28"/>
          <w:szCs w:val="28"/>
        </w:rPr>
        <w:t>к Порядку разработки</w:t>
      </w:r>
      <w:r w:rsidR="004A2D3F">
        <w:rPr>
          <w:color w:val="000000"/>
          <w:spacing w:val="1"/>
          <w:sz w:val="28"/>
          <w:szCs w:val="28"/>
        </w:rPr>
        <w:t>,</w:t>
      </w:r>
      <w:r w:rsidRPr="00CB24B3">
        <w:rPr>
          <w:color w:val="000000"/>
          <w:spacing w:val="1"/>
          <w:sz w:val="28"/>
          <w:szCs w:val="28"/>
        </w:rPr>
        <w:t xml:space="preserve"> корректировки</w:t>
      </w:r>
      <w:r w:rsidR="003F10D4">
        <w:rPr>
          <w:color w:val="000000"/>
          <w:spacing w:val="1"/>
          <w:sz w:val="28"/>
          <w:szCs w:val="28"/>
        </w:rPr>
        <w:t xml:space="preserve">, осуществления мониторинга и контроля реализации </w:t>
      </w:r>
      <w:r w:rsidRPr="00CB24B3">
        <w:rPr>
          <w:color w:val="000000"/>
          <w:spacing w:val="1"/>
          <w:sz w:val="28"/>
          <w:szCs w:val="28"/>
        </w:rPr>
        <w:t>прогноза социально-экономического</w:t>
      </w:r>
      <w:r w:rsidR="003F10D4">
        <w:rPr>
          <w:color w:val="000000"/>
          <w:spacing w:val="1"/>
          <w:sz w:val="28"/>
          <w:szCs w:val="28"/>
        </w:rPr>
        <w:t xml:space="preserve"> </w:t>
      </w:r>
      <w:r w:rsidRPr="00CB24B3">
        <w:rPr>
          <w:color w:val="000000"/>
          <w:sz w:val="28"/>
          <w:szCs w:val="28"/>
        </w:rPr>
        <w:t xml:space="preserve">развития Красногвардейского муниципального </w:t>
      </w:r>
      <w:r w:rsidR="003F10D4">
        <w:rPr>
          <w:color w:val="000000"/>
          <w:sz w:val="28"/>
          <w:szCs w:val="28"/>
        </w:rPr>
        <w:t>округа</w:t>
      </w:r>
      <w:r w:rsidRPr="00CB24B3">
        <w:rPr>
          <w:color w:val="000000"/>
          <w:sz w:val="28"/>
          <w:szCs w:val="28"/>
        </w:rPr>
        <w:t xml:space="preserve"> Ставропольского края на долгосрочный</w:t>
      </w:r>
      <w:r w:rsidRPr="00CB24B3">
        <w:rPr>
          <w:color w:val="000000"/>
          <w:spacing w:val="-1"/>
          <w:sz w:val="28"/>
          <w:szCs w:val="28"/>
        </w:rPr>
        <w:t xml:space="preserve"> период</w:t>
      </w:r>
    </w:p>
    <w:p w:rsidR="00641BB0" w:rsidRDefault="00641BB0" w:rsidP="00154150">
      <w:pPr>
        <w:spacing w:line="240" w:lineRule="exact"/>
        <w:ind w:left="5103"/>
      </w:pPr>
    </w:p>
    <w:p w:rsidR="00154150" w:rsidRDefault="00154150" w:rsidP="00154150">
      <w:pPr>
        <w:spacing w:line="240" w:lineRule="exact"/>
        <w:ind w:left="5103"/>
      </w:pPr>
    </w:p>
    <w:p w:rsidR="00154150" w:rsidRDefault="00154150" w:rsidP="00154150">
      <w:pPr>
        <w:spacing w:line="240" w:lineRule="exact"/>
        <w:ind w:left="5103"/>
      </w:pPr>
    </w:p>
    <w:p w:rsidR="00154150" w:rsidRPr="00775F3D" w:rsidRDefault="00154150" w:rsidP="00154150">
      <w:pPr>
        <w:spacing w:line="240" w:lineRule="exact"/>
        <w:ind w:left="5103"/>
      </w:pPr>
    </w:p>
    <w:p w:rsidR="00641BB0" w:rsidRPr="00CB24B3" w:rsidRDefault="00641BB0" w:rsidP="00154150">
      <w:pPr>
        <w:spacing w:line="240" w:lineRule="exact"/>
        <w:jc w:val="center"/>
        <w:rPr>
          <w:sz w:val="28"/>
          <w:szCs w:val="28"/>
        </w:rPr>
      </w:pPr>
      <w:r w:rsidRPr="00CB24B3">
        <w:rPr>
          <w:sz w:val="28"/>
          <w:szCs w:val="28"/>
        </w:rPr>
        <w:t>Перечень</w:t>
      </w:r>
    </w:p>
    <w:p w:rsidR="00641BB0" w:rsidRPr="00CB24B3" w:rsidRDefault="00193017" w:rsidP="001541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отделов, управлений, комитетов</w:t>
      </w:r>
      <w:r w:rsidR="00641BB0" w:rsidRPr="00CB24B3">
        <w:rPr>
          <w:sz w:val="28"/>
          <w:szCs w:val="28"/>
        </w:rPr>
        <w:t xml:space="preserve"> администрации Красногвардейского муниципального </w:t>
      </w:r>
      <w:r w:rsidR="003F10D4">
        <w:rPr>
          <w:sz w:val="28"/>
          <w:szCs w:val="28"/>
        </w:rPr>
        <w:t>округа</w:t>
      </w:r>
      <w:r w:rsidR="00641BB0" w:rsidRPr="00CB24B3">
        <w:rPr>
          <w:sz w:val="28"/>
          <w:szCs w:val="28"/>
        </w:rPr>
        <w:t xml:space="preserve"> Ставропольского края, государственных учреждений, р</w:t>
      </w:r>
      <w:r w:rsidR="003F10D4">
        <w:rPr>
          <w:sz w:val="28"/>
          <w:szCs w:val="28"/>
        </w:rPr>
        <w:t xml:space="preserve">асположенных на </w:t>
      </w:r>
      <w:r w:rsidR="00641BB0" w:rsidRPr="00CB24B3">
        <w:rPr>
          <w:sz w:val="28"/>
          <w:szCs w:val="28"/>
        </w:rPr>
        <w:t xml:space="preserve">территории Красногвардейского муниципального </w:t>
      </w:r>
      <w:r w:rsidR="003F10D4">
        <w:rPr>
          <w:sz w:val="28"/>
          <w:szCs w:val="28"/>
        </w:rPr>
        <w:t>округа</w:t>
      </w:r>
      <w:r w:rsidR="00641BB0" w:rsidRPr="00CB24B3">
        <w:rPr>
          <w:sz w:val="28"/>
          <w:szCs w:val="28"/>
        </w:rPr>
        <w:t xml:space="preserve"> Ставропольского края, являющихся субъектами прогнозирования социально-экономического развития Красногвардейского муниципального </w:t>
      </w:r>
      <w:r w:rsidR="003F10D4">
        <w:rPr>
          <w:sz w:val="28"/>
          <w:szCs w:val="28"/>
        </w:rPr>
        <w:t>округа</w:t>
      </w:r>
      <w:r w:rsidR="00641BB0" w:rsidRPr="00CB24B3">
        <w:rPr>
          <w:sz w:val="28"/>
          <w:szCs w:val="28"/>
        </w:rPr>
        <w:t xml:space="preserve"> Ставропольского края на долгосрочный период</w:t>
      </w:r>
    </w:p>
    <w:p w:rsidR="00641BB0" w:rsidRPr="00CB24B3" w:rsidRDefault="00641BB0" w:rsidP="00641BB0">
      <w:pPr>
        <w:jc w:val="center"/>
        <w:rPr>
          <w:sz w:val="28"/>
          <w:szCs w:val="28"/>
        </w:rPr>
      </w:pPr>
      <w:r w:rsidRPr="00CB24B3">
        <w:rPr>
          <w:sz w:val="28"/>
          <w:szCs w:val="28"/>
        </w:rPr>
        <w:t xml:space="preserve"> </w:t>
      </w:r>
    </w:p>
    <w:p w:rsidR="0009624B" w:rsidRDefault="00641BB0" w:rsidP="0009624B">
      <w:pPr>
        <w:ind w:firstLine="567"/>
        <w:jc w:val="both"/>
        <w:rPr>
          <w:sz w:val="28"/>
          <w:szCs w:val="28"/>
        </w:rPr>
      </w:pPr>
      <w:r w:rsidRPr="0009624B">
        <w:rPr>
          <w:sz w:val="28"/>
          <w:szCs w:val="28"/>
        </w:rPr>
        <w:t xml:space="preserve">1. Отдел </w:t>
      </w:r>
      <w:r w:rsidR="0009624B" w:rsidRPr="0009624B">
        <w:rPr>
          <w:rStyle w:val="FontStyle24"/>
        </w:rPr>
        <w:t>дорожного</w:t>
      </w:r>
      <w:r w:rsidRPr="0009624B">
        <w:rPr>
          <w:rStyle w:val="FontStyle24"/>
        </w:rPr>
        <w:t xml:space="preserve"> хозяйства</w:t>
      </w:r>
      <w:r w:rsidR="0009624B">
        <w:rPr>
          <w:rStyle w:val="FontStyle24"/>
        </w:rPr>
        <w:t>, транспорта и капитального строительства</w:t>
      </w:r>
      <w:r w:rsidRPr="0009624B">
        <w:rPr>
          <w:rStyle w:val="FontStyle24"/>
        </w:rPr>
        <w:t xml:space="preserve"> администрации Красногвардейского муниципального </w:t>
      </w:r>
      <w:r w:rsidR="0009624B" w:rsidRPr="0009624B">
        <w:rPr>
          <w:rStyle w:val="FontStyle24"/>
        </w:rPr>
        <w:t>округа</w:t>
      </w:r>
      <w:r w:rsidRPr="0009624B">
        <w:rPr>
          <w:rStyle w:val="FontStyle24"/>
        </w:rPr>
        <w:t xml:space="preserve"> Ставропольского края.</w:t>
      </w:r>
      <w:r w:rsidR="0009624B" w:rsidRPr="0009624B">
        <w:rPr>
          <w:sz w:val="28"/>
          <w:szCs w:val="28"/>
        </w:rPr>
        <w:t xml:space="preserve"> </w:t>
      </w:r>
    </w:p>
    <w:p w:rsidR="0009624B" w:rsidRDefault="0009624B" w:rsidP="000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24B">
        <w:rPr>
          <w:sz w:val="28"/>
          <w:szCs w:val="28"/>
        </w:rPr>
        <w:t>. Отдел экономического развития администрации Красногвардейского муниципального округа Ставропольского края.</w:t>
      </w:r>
    </w:p>
    <w:p w:rsidR="00460146" w:rsidRPr="0009624B" w:rsidRDefault="00460146" w:rsidP="00096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 архитектуры и градостроительства</w:t>
      </w:r>
      <w:r w:rsidRPr="00460146">
        <w:rPr>
          <w:sz w:val="28"/>
          <w:szCs w:val="28"/>
        </w:rPr>
        <w:t xml:space="preserve"> </w:t>
      </w:r>
      <w:r w:rsidRPr="0009624B">
        <w:rPr>
          <w:sz w:val="28"/>
          <w:szCs w:val="28"/>
        </w:rPr>
        <w:t>администрации Красногвардейского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641BB0" w:rsidRPr="0009624B" w:rsidRDefault="00765B6A" w:rsidP="00641BB0">
      <w:pPr>
        <w:tabs>
          <w:tab w:val="left" w:pos="1276"/>
        </w:tabs>
        <w:ind w:firstLine="567"/>
        <w:jc w:val="both"/>
        <w:rPr>
          <w:rStyle w:val="FontStyle24"/>
        </w:rPr>
      </w:pPr>
      <w:r>
        <w:rPr>
          <w:rStyle w:val="FontStyle24"/>
        </w:rPr>
        <w:t>4</w:t>
      </w:r>
      <w:r w:rsidR="0009624B">
        <w:rPr>
          <w:rStyle w:val="FontStyle24"/>
        </w:rPr>
        <w:t>. Отдел культуры администрации Красногвардейского муниципального округа С</w:t>
      </w:r>
      <w:r w:rsidR="0010529B">
        <w:rPr>
          <w:rStyle w:val="FontStyle24"/>
        </w:rPr>
        <w:t>тавропольского края.</w:t>
      </w:r>
    </w:p>
    <w:p w:rsidR="00641BB0" w:rsidRDefault="00765B6A" w:rsidP="00641BB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BB0" w:rsidRPr="0009624B">
        <w:rPr>
          <w:sz w:val="28"/>
          <w:szCs w:val="28"/>
        </w:rPr>
        <w:t xml:space="preserve">. Отдел образования администрации Красногвардейского муниципального </w:t>
      </w:r>
      <w:r w:rsidR="00E7721A" w:rsidRPr="0009624B">
        <w:rPr>
          <w:sz w:val="28"/>
          <w:szCs w:val="28"/>
        </w:rPr>
        <w:t>округа</w:t>
      </w:r>
      <w:r w:rsidR="00641BB0" w:rsidRPr="0009624B">
        <w:rPr>
          <w:sz w:val="28"/>
          <w:szCs w:val="28"/>
        </w:rPr>
        <w:t xml:space="preserve"> Ставропольского края.</w:t>
      </w:r>
    </w:p>
    <w:p w:rsidR="00641BB0" w:rsidRPr="0009624B" w:rsidRDefault="00765B6A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BB0" w:rsidRPr="0009624B">
        <w:rPr>
          <w:sz w:val="28"/>
          <w:szCs w:val="28"/>
        </w:rPr>
        <w:t>. Управление сельского хозяйства и охраны окружающей среды администрации Кра</w:t>
      </w:r>
      <w:r w:rsidR="0009624B" w:rsidRPr="0009624B">
        <w:rPr>
          <w:sz w:val="28"/>
          <w:szCs w:val="28"/>
        </w:rPr>
        <w:t xml:space="preserve">сногвардейского муниципального округа </w:t>
      </w:r>
      <w:r w:rsidR="00641BB0" w:rsidRPr="0009624B">
        <w:rPr>
          <w:sz w:val="28"/>
          <w:szCs w:val="28"/>
        </w:rPr>
        <w:t>Ставропольского края.</w:t>
      </w:r>
    </w:p>
    <w:p w:rsidR="00641BB0" w:rsidRDefault="00765B6A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BB0" w:rsidRPr="0009624B">
        <w:rPr>
          <w:sz w:val="28"/>
          <w:szCs w:val="28"/>
        </w:rPr>
        <w:t xml:space="preserve">. Управление труда и социальной защиты населения администрации Красногвардейского муниципального </w:t>
      </w:r>
      <w:r w:rsidR="0009624B" w:rsidRPr="0009624B">
        <w:rPr>
          <w:sz w:val="28"/>
          <w:szCs w:val="28"/>
        </w:rPr>
        <w:t>округа</w:t>
      </w:r>
      <w:r w:rsidR="00641BB0" w:rsidRPr="0009624B">
        <w:rPr>
          <w:sz w:val="28"/>
          <w:szCs w:val="28"/>
        </w:rPr>
        <w:t xml:space="preserve"> Ставропольского края.</w:t>
      </w:r>
    </w:p>
    <w:p w:rsidR="0009624B" w:rsidRPr="0009624B" w:rsidRDefault="00765B6A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624B">
        <w:rPr>
          <w:sz w:val="28"/>
          <w:szCs w:val="28"/>
        </w:rPr>
        <w:t>. Комитет по физической культуре и спорту администрации Красногвардейского муниципального округа Ставропольского края.</w:t>
      </w:r>
    </w:p>
    <w:p w:rsidR="00641BB0" w:rsidRPr="0009624B" w:rsidRDefault="00765B6A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BB0" w:rsidRPr="0009624B">
        <w:rPr>
          <w:sz w:val="28"/>
          <w:szCs w:val="28"/>
        </w:rPr>
        <w:t>.  Государственное казенное учреждение «Центр занятости населения Красногвардейского района» (по согласованию).</w:t>
      </w:r>
    </w:p>
    <w:p w:rsidR="00641BB0" w:rsidRPr="00CB24B3" w:rsidRDefault="00765B6A" w:rsidP="00641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1BB0" w:rsidRPr="0009624B">
        <w:rPr>
          <w:sz w:val="28"/>
          <w:szCs w:val="28"/>
        </w:rPr>
        <w:t>. Государственное бюджетное учреждение здравоохранения Ставропольского края «Красногвардейская районная больница» (по согласованию).</w:t>
      </w:r>
    </w:p>
    <w:p w:rsidR="00641BB0" w:rsidRPr="00CB24B3" w:rsidRDefault="00641BB0" w:rsidP="00641BB0">
      <w:pPr>
        <w:jc w:val="both"/>
        <w:rPr>
          <w:sz w:val="28"/>
          <w:szCs w:val="28"/>
        </w:rPr>
      </w:pPr>
    </w:p>
    <w:p w:rsidR="00641BB0" w:rsidRPr="00CB24B3" w:rsidRDefault="00641BB0" w:rsidP="00641BB0">
      <w:pPr>
        <w:jc w:val="both"/>
        <w:rPr>
          <w:sz w:val="28"/>
          <w:szCs w:val="28"/>
        </w:rPr>
      </w:pPr>
    </w:p>
    <w:p w:rsidR="00641BB0" w:rsidRPr="00CB24B3" w:rsidRDefault="00641BB0" w:rsidP="00641BB0">
      <w:pPr>
        <w:jc w:val="both"/>
        <w:rPr>
          <w:sz w:val="28"/>
          <w:szCs w:val="28"/>
        </w:rPr>
      </w:pPr>
    </w:p>
    <w:p w:rsidR="00641BB0" w:rsidRPr="00CB24B3" w:rsidRDefault="00641BB0" w:rsidP="00641BB0">
      <w:pPr>
        <w:jc w:val="both"/>
        <w:rPr>
          <w:sz w:val="28"/>
          <w:szCs w:val="28"/>
        </w:rPr>
      </w:pPr>
    </w:p>
    <w:p w:rsidR="00641BB0" w:rsidRDefault="00641BB0" w:rsidP="00641BB0">
      <w:pPr>
        <w:jc w:val="both"/>
        <w:sectPr w:rsidR="00641BB0" w:rsidSect="00E93901">
          <w:pgSz w:w="11906" w:h="16838"/>
          <w:pgMar w:top="794" w:right="624" w:bottom="993" w:left="1985" w:header="709" w:footer="709" w:gutter="0"/>
          <w:pgNumType w:start="1"/>
          <w:cols w:space="708"/>
          <w:titlePg/>
          <w:docGrid w:linePitch="360"/>
        </w:sectPr>
      </w:pPr>
    </w:p>
    <w:p w:rsidR="00641BB0" w:rsidRPr="00CB24B3" w:rsidRDefault="00641BB0" w:rsidP="00154150">
      <w:pPr>
        <w:shd w:val="clear" w:color="auto" w:fill="FFFFFF"/>
        <w:spacing w:line="240" w:lineRule="exact"/>
        <w:ind w:left="9214"/>
        <w:rPr>
          <w:sz w:val="28"/>
          <w:szCs w:val="28"/>
        </w:rPr>
      </w:pPr>
      <w:r w:rsidRPr="00CB24B3"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3F10D4" w:rsidRPr="00CB24B3" w:rsidRDefault="003F10D4" w:rsidP="00154150">
      <w:pPr>
        <w:shd w:val="clear" w:color="auto" w:fill="FFFFFF"/>
        <w:spacing w:line="240" w:lineRule="exact"/>
        <w:ind w:left="9214"/>
        <w:rPr>
          <w:color w:val="000000"/>
          <w:sz w:val="28"/>
          <w:szCs w:val="28"/>
        </w:rPr>
      </w:pPr>
      <w:r w:rsidRPr="00CB24B3">
        <w:rPr>
          <w:color w:val="000000"/>
          <w:spacing w:val="1"/>
          <w:sz w:val="28"/>
          <w:szCs w:val="28"/>
        </w:rPr>
        <w:t>к Порядку разработки</w:t>
      </w:r>
      <w:r>
        <w:rPr>
          <w:color w:val="000000"/>
          <w:spacing w:val="1"/>
          <w:sz w:val="28"/>
          <w:szCs w:val="28"/>
        </w:rPr>
        <w:t>,</w:t>
      </w:r>
      <w:r w:rsidRPr="00CB24B3">
        <w:rPr>
          <w:color w:val="000000"/>
          <w:spacing w:val="1"/>
          <w:sz w:val="28"/>
          <w:szCs w:val="28"/>
        </w:rPr>
        <w:t xml:space="preserve"> корректировки</w:t>
      </w:r>
      <w:r>
        <w:rPr>
          <w:color w:val="000000"/>
          <w:spacing w:val="1"/>
          <w:sz w:val="28"/>
          <w:szCs w:val="28"/>
        </w:rPr>
        <w:t xml:space="preserve">, осуществления мониторинга и контроля реализации </w:t>
      </w:r>
      <w:r w:rsidRPr="00CB24B3">
        <w:rPr>
          <w:color w:val="000000"/>
          <w:spacing w:val="1"/>
          <w:sz w:val="28"/>
          <w:szCs w:val="28"/>
        </w:rPr>
        <w:t>прогноза социально-экономического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CB24B3">
        <w:rPr>
          <w:color w:val="000000"/>
          <w:sz w:val="28"/>
          <w:szCs w:val="28"/>
        </w:rPr>
        <w:t xml:space="preserve">развития Красногвардейского муниципального </w:t>
      </w:r>
      <w:r>
        <w:rPr>
          <w:color w:val="000000"/>
          <w:sz w:val="28"/>
          <w:szCs w:val="28"/>
        </w:rPr>
        <w:t>округа</w:t>
      </w:r>
      <w:r w:rsidRPr="00CB24B3">
        <w:rPr>
          <w:color w:val="000000"/>
          <w:sz w:val="28"/>
          <w:szCs w:val="28"/>
        </w:rPr>
        <w:t xml:space="preserve"> Ставропольского края на долгосрочный</w:t>
      </w:r>
      <w:r w:rsidRPr="00CB24B3">
        <w:rPr>
          <w:color w:val="000000"/>
          <w:spacing w:val="-1"/>
          <w:sz w:val="28"/>
          <w:szCs w:val="28"/>
        </w:rPr>
        <w:t xml:space="preserve"> период</w:t>
      </w:r>
    </w:p>
    <w:p w:rsidR="00641BB0" w:rsidRDefault="00641BB0" w:rsidP="00154150">
      <w:pPr>
        <w:shd w:val="clear" w:color="auto" w:fill="FFFFFF"/>
        <w:spacing w:line="240" w:lineRule="exact"/>
        <w:ind w:left="9214"/>
        <w:rPr>
          <w:color w:val="000000"/>
          <w:sz w:val="28"/>
          <w:szCs w:val="28"/>
        </w:rPr>
      </w:pPr>
    </w:p>
    <w:p w:rsidR="00154150" w:rsidRDefault="00154150" w:rsidP="00154150">
      <w:pPr>
        <w:shd w:val="clear" w:color="auto" w:fill="FFFFFF"/>
        <w:spacing w:line="240" w:lineRule="exact"/>
        <w:ind w:left="9214"/>
        <w:rPr>
          <w:color w:val="000000"/>
          <w:sz w:val="28"/>
          <w:szCs w:val="28"/>
        </w:rPr>
      </w:pPr>
    </w:p>
    <w:p w:rsidR="00154150" w:rsidRDefault="00154150" w:rsidP="00154150">
      <w:pPr>
        <w:shd w:val="clear" w:color="auto" w:fill="FFFFFF"/>
        <w:spacing w:line="240" w:lineRule="exact"/>
        <w:ind w:left="9214"/>
        <w:rPr>
          <w:color w:val="000000"/>
          <w:sz w:val="28"/>
          <w:szCs w:val="28"/>
        </w:rPr>
      </w:pPr>
    </w:p>
    <w:p w:rsidR="00154150" w:rsidRPr="00CB24B3" w:rsidRDefault="00154150" w:rsidP="00154150">
      <w:pPr>
        <w:shd w:val="clear" w:color="auto" w:fill="FFFFFF"/>
        <w:spacing w:line="240" w:lineRule="exact"/>
        <w:ind w:left="9214"/>
        <w:rPr>
          <w:color w:val="000000"/>
          <w:sz w:val="28"/>
          <w:szCs w:val="28"/>
        </w:rPr>
      </w:pPr>
    </w:p>
    <w:p w:rsidR="00641BB0" w:rsidRDefault="00641BB0" w:rsidP="00154150">
      <w:pPr>
        <w:shd w:val="clear" w:color="auto" w:fill="FFFFFF"/>
        <w:spacing w:line="240" w:lineRule="exact"/>
        <w:ind w:left="9214" w:right="7"/>
      </w:pPr>
      <w:r w:rsidRPr="00CB24B3">
        <w:rPr>
          <w:color w:val="000000"/>
          <w:spacing w:val="-1"/>
          <w:sz w:val="28"/>
          <w:szCs w:val="28"/>
        </w:rPr>
        <w:t>Форма</w:t>
      </w:r>
    </w:p>
    <w:p w:rsidR="00641BB0" w:rsidRPr="006163A5" w:rsidRDefault="00641BB0" w:rsidP="00154150">
      <w:pPr>
        <w:shd w:val="clear" w:color="auto" w:fill="FFFFFF"/>
        <w:spacing w:line="240" w:lineRule="exact"/>
        <w:jc w:val="center"/>
        <w:rPr>
          <w:color w:val="000000"/>
          <w:spacing w:val="-2"/>
          <w:sz w:val="28"/>
          <w:szCs w:val="28"/>
        </w:rPr>
      </w:pPr>
    </w:p>
    <w:p w:rsidR="00641BB0" w:rsidRPr="00CB24B3" w:rsidRDefault="00641BB0" w:rsidP="00154150">
      <w:pPr>
        <w:shd w:val="clear" w:color="auto" w:fill="FFFFFF"/>
        <w:spacing w:line="240" w:lineRule="exact"/>
        <w:jc w:val="center"/>
        <w:rPr>
          <w:color w:val="000000"/>
          <w:spacing w:val="-2"/>
          <w:sz w:val="28"/>
          <w:szCs w:val="28"/>
        </w:rPr>
      </w:pPr>
      <w:r w:rsidRPr="00CB24B3">
        <w:rPr>
          <w:color w:val="000000"/>
          <w:spacing w:val="-2"/>
          <w:sz w:val="28"/>
          <w:szCs w:val="28"/>
        </w:rPr>
        <w:t>ТАБЛИЦА</w:t>
      </w:r>
    </w:p>
    <w:p w:rsidR="00641BB0" w:rsidRPr="00CB24B3" w:rsidRDefault="00641BB0" w:rsidP="00154150">
      <w:pPr>
        <w:shd w:val="clear" w:color="auto" w:fill="FFFFFF"/>
        <w:spacing w:line="240" w:lineRule="exact"/>
        <w:ind w:left="893"/>
        <w:jc w:val="center"/>
        <w:rPr>
          <w:color w:val="000000"/>
          <w:spacing w:val="-1"/>
          <w:sz w:val="28"/>
          <w:szCs w:val="28"/>
        </w:rPr>
      </w:pPr>
      <w:r w:rsidRPr="00CB24B3">
        <w:rPr>
          <w:color w:val="000000"/>
          <w:spacing w:val="-1"/>
          <w:sz w:val="28"/>
          <w:szCs w:val="28"/>
        </w:rPr>
        <w:t xml:space="preserve">отчетных и прогнозных значений целевых показателей социально-экономического развития Красногвардейского муниципального </w:t>
      </w:r>
      <w:r w:rsidR="003F10D4">
        <w:rPr>
          <w:color w:val="000000"/>
          <w:spacing w:val="-1"/>
          <w:sz w:val="28"/>
          <w:szCs w:val="28"/>
        </w:rPr>
        <w:t>округа</w:t>
      </w:r>
      <w:r w:rsidRPr="00CB24B3">
        <w:rPr>
          <w:color w:val="000000"/>
          <w:spacing w:val="-1"/>
          <w:sz w:val="28"/>
          <w:szCs w:val="28"/>
        </w:rPr>
        <w:t xml:space="preserve"> Ставропольского края на долгосрочный период</w:t>
      </w:r>
    </w:p>
    <w:p w:rsidR="00641BB0" w:rsidRPr="006163A5" w:rsidRDefault="00641BB0" w:rsidP="00641BB0">
      <w:pPr>
        <w:shd w:val="clear" w:color="auto" w:fill="FFFFFF"/>
        <w:ind w:left="893"/>
        <w:jc w:val="center"/>
        <w:rPr>
          <w:color w:val="000000"/>
          <w:spacing w:val="-1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1134"/>
        <w:gridCol w:w="1134"/>
        <w:gridCol w:w="1134"/>
        <w:gridCol w:w="993"/>
        <w:gridCol w:w="992"/>
        <w:gridCol w:w="992"/>
        <w:gridCol w:w="1134"/>
        <w:gridCol w:w="992"/>
      </w:tblGrid>
      <w:tr w:rsidR="00641BB0" w:rsidRPr="004F7646" w:rsidTr="00A96D2F">
        <w:trPr>
          <w:trHeight w:val="267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41BB0" w:rsidRPr="00AC2D8D" w:rsidRDefault="00641BB0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66509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Текущий год, оценка</w:t>
            </w:r>
          </w:p>
        </w:tc>
        <w:tc>
          <w:tcPr>
            <w:tcW w:w="6237" w:type="dxa"/>
            <w:gridSpan w:val="6"/>
            <w:vAlign w:val="center"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641BB0" w:rsidRPr="004F7646" w:rsidTr="00A96D2F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1BB0" w:rsidRPr="0084661C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>- 1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1BB0" w:rsidRPr="0084661C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vAlign w:val="center"/>
          </w:tcPr>
          <w:p w:rsidR="00641BB0" w:rsidRPr="0084661C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>+1 год</w:t>
            </w:r>
          </w:p>
        </w:tc>
        <w:tc>
          <w:tcPr>
            <w:tcW w:w="3118" w:type="dxa"/>
            <w:gridSpan w:val="3"/>
            <w:vAlign w:val="center"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F7646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bCs/>
                <w:color w:val="000000"/>
                <w:sz w:val="20"/>
                <w:szCs w:val="20"/>
              </w:rPr>
              <w:t>+…год</w:t>
            </w: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1BB0" w:rsidRPr="004F7646" w:rsidRDefault="00641BB0" w:rsidP="009625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Консервативный вариант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 вариант</w:t>
            </w:r>
          </w:p>
        </w:tc>
        <w:tc>
          <w:tcPr>
            <w:tcW w:w="992" w:type="dxa"/>
            <w:vAlign w:val="center"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Консервативный вариант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Целевой вариант</w:t>
            </w:r>
          </w:p>
        </w:tc>
      </w:tr>
      <w:tr w:rsidR="00A96D2F" w:rsidRPr="004F7646" w:rsidTr="00A96D2F">
        <w:trPr>
          <w:trHeight w:val="3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AC2D8D" w:rsidRDefault="00641BB0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2D8D">
              <w:rPr>
                <w:b/>
                <w:bCs/>
                <w:color w:val="000000"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sz w:val="20"/>
                <w:szCs w:val="20"/>
              </w:rPr>
            </w:pPr>
            <w:r w:rsidRPr="004F7646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тыс.</w:t>
            </w:r>
            <w:r w:rsidR="00541A4F">
              <w:rPr>
                <w:color w:val="000000"/>
                <w:sz w:val="20"/>
                <w:szCs w:val="20"/>
              </w:rPr>
              <w:t xml:space="preserve"> </w:t>
            </w:r>
            <w:r w:rsidRPr="004F764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sz w:val="20"/>
                <w:szCs w:val="20"/>
              </w:rPr>
            </w:pPr>
            <w:r w:rsidRPr="004F7646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sz w:val="20"/>
                <w:szCs w:val="20"/>
              </w:rPr>
            </w:pPr>
            <w:r w:rsidRPr="004F7646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66509C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число родившихся на 1 тыс.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sz w:val="20"/>
                <w:szCs w:val="20"/>
              </w:rPr>
            </w:pPr>
            <w:r w:rsidRPr="004F7646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число умерших на 1 тыс.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63A5" w:rsidRPr="004F7646" w:rsidRDefault="006163A5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6163A5" w:rsidRPr="006163A5" w:rsidRDefault="006163A5" w:rsidP="00D3338F">
            <w:pPr>
              <w:pStyle w:val="ConsPlusNormal"/>
              <w:rPr>
                <w:sz w:val="20"/>
                <w:szCs w:val="20"/>
              </w:rPr>
            </w:pPr>
            <w:r w:rsidRPr="006163A5">
              <w:rPr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6163A5" w:rsidRPr="006163A5" w:rsidRDefault="006163A5" w:rsidP="00D3338F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3A5">
              <w:rPr>
                <w:sz w:val="20"/>
                <w:szCs w:val="20"/>
              </w:rPr>
              <w:t>на 1 тыс.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163A5" w:rsidRPr="004F7646" w:rsidRDefault="006163A5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41BB0" w:rsidRPr="004F7646" w:rsidRDefault="00641BB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41BB0" w:rsidRPr="00BC7675" w:rsidRDefault="00641BB0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C7675">
              <w:rPr>
                <w:b/>
                <w:bCs/>
                <w:color w:val="000000"/>
                <w:sz w:val="20"/>
                <w:szCs w:val="20"/>
              </w:rPr>
              <w:t>. Промышленное производство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BB0" w:rsidRPr="004F7646" w:rsidRDefault="00641BB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6163A5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FF1973" w:rsidRDefault="00FF214D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E93901" w:rsidRDefault="00541A4F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FF214D" w:rsidRPr="00E93901">
              <w:rPr>
                <w:sz w:val="20"/>
                <w:szCs w:val="20"/>
              </w:rPr>
              <w:t xml:space="preserve">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83659E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FF1973" w:rsidRDefault="00FF214D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E93901" w:rsidRDefault="00FF214D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E93901">
              <w:rPr>
                <w:sz w:val="20"/>
                <w:szCs w:val="20"/>
              </w:rPr>
              <w:t>млн. руб</w:t>
            </w:r>
            <w:r w:rsidR="00E93901" w:rsidRPr="00E939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BC7675" w:rsidRDefault="00FF214D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675">
              <w:rPr>
                <w:b/>
                <w:bCs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1973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1973" w:rsidP="00962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FF214D" w:rsidRPr="004F7646">
              <w:rPr>
                <w:color w:val="000000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BC7675" w:rsidRDefault="00FF214D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C7675">
              <w:rPr>
                <w:b/>
                <w:bCs/>
                <w:color w:val="000000"/>
                <w:sz w:val="20"/>
                <w:szCs w:val="20"/>
              </w:rPr>
              <w:t>. Сельское хозяйство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59E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8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59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FF214D">
              <w:rPr>
                <w:color w:val="000000"/>
                <w:sz w:val="20"/>
                <w:szCs w:val="20"/>
              </w:rPr>
              <w:t xml:space="preserve"> к предыдущему году в сопоста</w:t>
            </w:r>
            <w:r w:rsidR="00FF214D" w:rsidRPr="004F7646">
              <w:rPr>
                <w:color w:val="000000"/>
                <w:sz w:val="20"/>
                <w:szCs w:val="20"/>
              </w:rPr>
              <w:t>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6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bCs/>
                <w:color w:val="000000"/>
                <w:sz w:val="20"/>
                <w:szCs w:val="20"/>
              </w:rPr>
            </w:pPr>
            <w:r w:rsidRPr="004F7646">
              <w:rPr>
                <w:bCs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59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</w:t>
            </w:r>
            <w:r w:rsidR="00E93901">
              <w:rPr>
                <w:color w:val="000000"/>
                <w:sz w:val="20"/>
                <w:szCs w:val="20"/>
              </w:rPr>
              <w:t xml:space="preserve"> </w:t>
            </w:r>
            <w:r w:rsidRPr="004F76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59E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FF214D">
              <w:rPr>
                <w:color w:val="000000"/>
                <w:sz w:val="20"/>
                <w:szCs w:val="20"/>
              </w:rPr>
              <w:t xml:space="preserve"> к предыдущему году в сопоста</w:t>
            </w:r>
            <w:r w:rsidR="00FF214D" w:rsidRPr="004F7646">
              <w:rPr>
                <w:color w:val="000000"/>
                <w:sz w:val="20"/>
                <w:szCs w:val="20"/>
              </w:rPr>
              <w:t>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1973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659E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</w:t>
            </w:r>
            <w:r w:rsidR="00E93901">
              <w:rPr>
                <w:color w:val="000000"/>
                <w:sz w:val="20"/>
                <w:szCs w:val="20"/>
              </w:rPr>
              <w:t xml:space="preserve"> </w:t>
            </w:r>
            <w:r w:rsidRPr="004F7646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1973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3659E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 w:rsidR="00FF214D" w:rsidRPr="004F7646">
              <w:rPr>
                <w:color w:val="000000"/>
                <w:sz w:val="20"/>
                <w:szCs w:val="20"/>
              </w:rPr>
              <w:t xml:space="preserve"> к предыдущему году в сопост</w:t>
            </w:r>
            <w:r w:rsidR="00FF214D">
              <w:rPr>
                <w:color w:val="000000"/>
                <w:sz w:val="20"/>
                <w:szCs w:val="20"/>
              </w:rPr>
              <w:t>а</w:t>
            </w:r>
            <w:r w:rsidR="00FF214D" w:rsidRPr="004F7646">
              <w:rPr>
                <w:color w:val="000000"/>
                <w:sz w:val="20"/>
                <w:szCs w:val="20"/>
              </w:rPr>
              <w:t>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F23D93" w:rsidRDefault="00E93901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F214D" w:rsidRPr="00F23D93">
              <w:rPr>
                <w:b/>
                <w:bCs/>
                <w:color w:val="000000"/>
                <w:sz w:val="20"/>
                <w:szCs w:val="20"/>
              </w:rPr>
              <w:t>. Строительство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83659E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9D6EAA" w:rsidRDefault="00FF214D" w:rsidP="009625E4">
            <w:pPr>
              <w:rPr>
                <w:bCs/>
                <w:color w:val="000000"/>
                <w:sz w:val="20"/>
                <w:szCs w:val="20"/>
              </w:rPr>
            </w:pPr>
            <w:r w:rsidRPr="009D6EAA">
              <w:rPr>
                <w:bCs/>
                <w:color w:val="000000"/>
                <w:sz w:val="20"/>
                <w:szCs w:val="20"/>
              </w:rPr>
              <w:t>Объем работ выполненных по виду экономической деятельности «Строительство»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ценах соответствующих лет; млн.</w:t>
            </w:r>
            <w:r w:rsidR="00FF19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Default="0083659E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FF1973" w:rsidRDefault="00E93901" w:rsidP="009625E4">
            <w:pPr>
              <w:rPr>
                <w:color w:val="000000"/>
                <w:sz w:val="20"/>
                <w:szCs w:val="20"/>
              </w:rPr>
            </w:pPr>
            <w:r w:rsidRPr="00FF1973">
              <w:rPr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93901" w:rsidRPr="00FF1973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процентов</w:t>
            </w:r>
            <w:r w:rsidR="00E93901" w:rsidRPr="00FF1973">
              <w:rPr>
                <w:color w:val="000000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214D" w:rsidRPr="004F7646" w:rsidRDefault="0083659E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14D" w:rsidRPr="004F7646" w:rsidRDefault="00FF214D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тыс.кв.м общей площади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14D" w:rsidRPr="004F7646" w:rsidRDefault="00FF214D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2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Pr="004F7646" w:rsidRDefault="00E93901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F23D93" w:rsidRDefault="00E93901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Транспорт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4F7646" w:rsidRDefault="00E93901" w:rsidP="0083659E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Протяженность автомобильных дорог общего п</w:t>
            </w:r>
            <w:r w:rsidR="0083659E">
              <w:rPr>
                <w:color w:val="000000"/>
                <w:sz w:val="20"/>
                <w:szCs w:val="20"/>
              </w:rPr>
              <w:t xml:space="preserve">ользования с твердым покрытием </w:t>
            </w:r>
            <w:r w:rsidRPr="004F7646">
              <w:rPr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 xml:space="preserve">на конец года; </w:t>
            </w:r>
            <w:r w:rsidR="00541A4F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Default="00FF1973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7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FF1973" w:rsidRDefault="00E93901" w:rsidP="009625E4">
            <w:pPr>
              <w:pStyle w:val="ConsPlusNormal"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 xml:space="preserve">Доля автомобильных дорог </w:t>
            </w:r>
            <w:r w:rsidR="00541A4F" w:rsidRPr="00FF1973">
              <w:rPr>
                <w:sz w:val="20"/>
                <w:szCs w:val="20"/>
              </w:rPr>
              <w:t>муниципального</w:t>
            </w:r>
            <w:r w:rsidRPr="00FF1973">
              <w:rPr>
                <w:sz w:val="20"/>
                <w:szCs w:val="20"/>
              </w:rPr>
              <w:t xml:space="preserve"> значения, соответствующих нормативным требованиям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901" w:rsidRPr="00E93901" w:rsidRDefault="00541A4F" w:rsidP="009625E4">
            <w:pPr>
              <w:pStyle w:val="ConsPlusNormal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3901" w:rsidRPr="004F7646" w:rsidRDefault="00E93901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E93901" w:rsidRPr="00F23D93" w:rsidRDefault="00E93901" w:rsidP="00032E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23D9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032E77">
              <w:rPr>
                <w:b/>
                <w:bCs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3901" w:rsidRPr="004F7646" w:rsidRDefault="00E9390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FF1973" w:rsidP="00032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7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541A4F" w:rsidRDefault="00541A4F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1842" w:type="dxa"/>
            <w:shd w:val="clear" w:color="auto" w:fill="auto"/>
            <w:hideMark/>
          </w:tcPr>
          <w:p w:rsidR="00541A4F" w:rsidRPr="00541A4F" w:rsidRDefault="00541A4F" w:rsidP="00032E77">
            <w:pPr>
              <w:pStyle w:val="ConsPlusNormal"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541A4F">
              <w:rPr>
                <w:sz w:val="20"/>
                <w:szCs w:val="20"/>
              </w:rPr>
              <w:t>процентов к соответствующему периоду предыдущего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541A4F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E7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  <w:r>
              <w:rPr>
                <w:color w:val="000000"/>
                <w:sz w:val="20"/>
                <w:szCs w:val="20"/>
              </w:rPr>
              <w:t xml:space="preserve"> к предыдущему году в сопоста</w:t>
            </w:r>
            <w:r w:rsidRPr="004F7646">
              <w:rPr>
                <w:color w:val="000000"/>
                <w:sz w:val="20"/>
                <w:szCs w:val="20"/>
              </w:rPr>
              <w:t xml:space="preserve">вимых </w:t>
            </w:r>
            <w:r w:rsidRPr="004F7646">
              <w:rPr>
                <w:color w:val="000000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541A4F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541A4F" w:rsidRDefault="00541A4F" w:rsidP="009625E4">
            <w:pPr>
              <w:rPr>
                <w:b/>
                <w:color w:val="000000"/>
                <w:sz w:val="20"/>
                <w:szCs w:val="20"/>
              </w:rPr>
            </w:pPr>
            <w:r w:rsidRPr="00541A4F">
              <w:rPr>
                <w:b/>
                <w:color w:val="000000"/>
                <w:sz w:val="20"/>
                <w:szCs w:val="20"/>
              </w:rPr>
              <w:t>7. Малое и среднее предпринимательство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Default="00541A4F" w:rsidP="0096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541A4F" w:rsidRPr="00FF1973" w:rsidRDefault="00541A4F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Численность занятых в сегменте малого и среднего предпринимательства, включал индивидуальных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FF1973" w:rsidRDefault="00541A4F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541A4F" w:rsidRPr="00FF1973" w:rsidRDefault="00541A4F" w:rsidP="009625E4">
            <w:pPr>
              <w:pStyle w:val="a8"/>
              <w:suppressAutoHyphens/>
              <w:rPr>
                <w:rFonts w:eastAsia="Times New Roman"/>
                <w:sz w:val="20"/>
                <w:szCs w:val="20"/>
              </w:rPr>
            </w:pPr>
            <w:r w:rsidRPr="00FF1973">
              <w:rPr>
                <w:rFonts w:eastAsia="Times New Roman"/>
                <w:sz w:val="20"/>
                <w:szCs w:val="20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FF1973" w:rsidRDefault="00541A4F" w:rsidP="009625E4">
            <w:pPr>
              <w:pStyle w:val="a8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FF197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973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541A4F" w:rsidRPr="0068757E" w:rsidRDefault="00541A4F" w:rsidP="009625E4">
            <w:pPr>
              <w:suppressAutoHyphens/>
              <w:rPr>
                <w:sz w:val="20"/>
                <w:szCs w:val="20"/>
              </w:rPr>
            </w:pPr>
            <w:r w:rsidRPr="0068757E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FF1973" w:rsidRDefault="00541A4F" w:rsidP="009625E4">
            <w:pPr>
              <w:suppressAutoHyphens/>
              <w:jc w:val="center"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973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541A4F" w:rsidRPr="0068757E" w:rsidRDefault="00541A4F" w:rsidP="009625E4">
            <w:pPr>
              <w:suppressAutoHyphens/>
              <w:rPr>
                <w:sz w:val="20"/>
                <w:szCs w:val="20"/>
              </w:rPr>
            </w:pPr>
            <w:r w:rsidRPr="0068757E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</w:p>
          <w:p w:rsidR="00541A4F" w:rsidRPr="0068757E" w:rsidRDefault="00541A4F" w:rsidP="009625E4">
            <w:pPr>
              <w:suppressAutoHyphens/>
              <w:rPr>
                <w:sz w:val="20"/>
                <w:szCs w:val="20"/>
              </w:rPr>
            </w:pPr>
            <w:r w:rsidRPr="0068757E">
              <w:rPr>
                <w:sz w:val="20"/>
                <w:szCs w:val="20"/>
              </w:rPr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FF1973" w:rsidRDefault="00541A4F" w:rsidP="009625E4">
            <w:pPr>
              <w:suppressAutoHyphens/>
              <w:jc w:val="center"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541A4F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541A4F" w:rsidRDefault="00541A4F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1A4F">
              <w:rPr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541A4F">
              <w:rPr>
                <w:b/>
                <w:sz w:val="20"/>
                <w:szCs w:val="20"/>
              </w:rPr>
              <w:t>Инвестиционная деятельность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1973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  <w:r w:rsidRPr="004F7646">
              <w:rPr>
                <w:color w:val="000000"/>
                <w:sz w:val="20"/>
                <w:szCs w:val="20"/>
              </w:rPr>
              <w:t xml:space="preserve"> к предыдущему году в сопост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F7646">
              <w:rPr>
                <w:color w:val="000000"/>
                <w:sz w:val="20"/>
                <w:szCs w:val="20"/>
              </w:rPr>
              <w:t>вимых ценах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541A4F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F23D93" w:rsidRDefault="00541A4F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23D93">
              <w:rPr>
                <w:b/>
                <w:bCs/>
                <w:color w:val="000000"/>
                <w:sz w:val="20"/>
                <w:szCs w:val="20"/>
              </w:rPr>
              <w:t>. Труд и занятость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Среднегодовая численность занятых в экономике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1A4F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1A4F" w:rsidRPr="004F7646" w:rsidRDefault="00541A4F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41A4F" w:rsidRPr="004F7646" w:rsidRDefault="00541A4F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FF1973" w:rsidRDefault="00626A40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Реальная заработная плата работников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FF1973" w:rsidRDefault="00626A40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FF1973">
              <w:rPr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процентах</w:t>
            </w:r>
            <w:r w:rsidRPr="004F7646">
              <w:rPr>
                <w:color w:val="000000"/>
                <w:sz w:val="20"/>
                <w:szCs w:val="20"/>
              </w:rPr>
              <w:t xml:space="preserve"> к экономически активному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млн.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764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626A4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F23D93" w:rsidRDefault="00626A40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F23D93">
              <w:rPr>
                <w:b/>
                <w:bCs/>
                <w:color w:val="000000"/>
                <w:sz w:val="20"/>
                <w:szCs w:val="20"/>
              </w:rPr>
              <w:t>. Развитие социальной сферы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626A4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Default="00626A40" w:rsidP="009625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BC1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6A6BC1" w:rsidRPr="0068757E" w:rsidRDefault="006A6BC1" w:rsidP="009625E4">
            <w:pPr>
              <w:rPr>
                <w:color w:val="000000"/>
                <w:sz w:val="20"/>
                <w:szCs w:val="20"/>
              </w:rPr>
            </w:pPr>
            <w:r w:rsidRPr="0068757E">
              <w:rPr>
                <w:color w:val="000000"/>
                <w:sz w:val="20"/>
                <w:szCs w:val="20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A6BC1" w:rsidRPr="006A6BC1" w:rsidRDefault="006A6BC1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6A6BC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6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BC1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6A6BC1" w:rsidRPr="0068757E" w:rsidRDefault="006A6BC1" w:rsidP="009625E4">
            <w:pPr>
              <w:rPr>
                <w:color w:val="000000"/>
                <w:sz w:val="20"/>
                <w:szCs w:val="20"/>
              </w:rPr>
            </w:pPr>
            <w:r w:rsidRPr="0068757E">
              <w:rPr>
                <w:color w:val="000000"/>
                <w:sz w:val="20"/>
                <w:szCs w:val="20"/>
              </w:rPr>
              <w:t>Доля детей, охваченных дополнительным образованием, в общей численности детей в возрасте от 5–18 лет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A6BC1" w:rsidRPr="006A6BC1" w:rsidRDefault="006A6BC1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6A6BC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626A4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68757E" w:rsidRDefault="00626A40" w:rsidP="009625E4">
            <w:pPr>
              <w:rPr>
                <w:b/>
                <w:color w:val="000000"/>
                <w:sz w:val="20"/>
                <w:szCs w:val="20"/>
              </w:rPr>
            </w:pPr>
            <w:r w:rsidRPr="0068757E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75A41" w:rsidRPr="0068757E" w:rsidRDefault="00626A40" w:rsidP="009625E4">
            <w:pPr>
              <w:rPr>
                <w:color w:val="000000"/>
                <w:sz w:val="20"/>
                <w:szCs w:val="20"/>
              </w:rPr>
            </w:pPr>
            <w:r w:rsidRPr="0068757E">
              <w:rPr>
                <w:color w:val="000000"/>
                <w:sz w:val="20"/>
                <w:szCs w:val="20"/>
              </w:rPr>
              <w:t xml:space="preserve">Обеспеченность больничными койками на </w:t>
            </w:r>
          </w:p>
          <w:p w:rsidR="00626A40" w:rsidRPr="0068757E" w:rsidRDefault="00626A40" w:rsidP="009625E4">
            <w:pPr>
              <w:rPr>
                <w:color w:val="000000"/>
                <w:sz w:val="20"/>
                <w:szCs w:val="20"/>
              </w:rPr>
            </w:pPr>
            <w:r w:rsidRPr="0068757E">
              <w:rPr>
                <w:color w:val="000000"/>
                <w:sz w:val="20"/>
                <w:szCs w:val="20"/>
              </w:rPr>
              <w:t>10 000 человек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  <w:r w:rsidRPr="004F7646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7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Default="00626A4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26A40" w:rsidRPr="0068757E" w:rsidRDefault="00626A40" w:rsidP="009625E4">
            <w:pPr>
              <w:rPr>
                <w:b/>
                <w:color w:val="000000"/>
                <w:sz w:val="20"/>
                <w:szCs w:val="20"/>
              </w:rPr>
            </w:pPr>
            <w:r w:rsidRPr="0068757E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Pr="004F7646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626A40" w:rsidRPr="0068757E" w:rsidRDefault="006A6BC1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8757E">
              <w:rPr>
                <w:sz w:val="20"/>
                <w:szCs w:val="20"/>
              </w:rPr>
              <w:t>Доля населения Красногвардейского муниципального округа в возрасте от 3 до 79 лет, систематически занимающегося физической культурой и спортом, в общей численности населения Красногвардейского муниципального округа в возрасте от 3 до 79 лет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626A40" w:rsidRDefault="00626A40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26A40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6A40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626A40" w:rsidRPr="0068757E" w:rsidRDefault="006A6BC1" w:rsidP="009625E4">
            <w:pPr>
              <w:pStyle w:val="ConsPlusNormal"/>
              <w:suppressAutoHyphens/>
              <w:rPr>
                <w:sz w:val="20"/>
                <w:szCs w:val="20"/>
              </w:rPr>
            </w:pPr>
            <w:r w:rsidRPr="0068757E">
              <w:rPr>
                <w:sz w:val="20"/>
                <w:szCs w:val="20"/>
              </w:rPr>
              <w:t>Доля обучающихся общеобразовательных организаций, профессиональных образовательных организаций, расположенных на территории Красногвардейского муниципального округа,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26A40" w:rsidRPr="00626A40" w:rsidRDefault="00626A40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 w:rsidRPr="00626A40">
              <w:rPr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67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6BC1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6A6BC1" w:rsidRPr="006A6BC1" w:rsidRDefault="006A6BC1" w:rsidP="009625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официальных муниципальных спортивных и физкультурно-оздоровительных мероприятий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A6BC1" w:rsidRPr="00626A40" w:rsidRDefault="006A6BC1" w:rsidP="009625E4">
            <w:pPr>
              <w:pStyle w:val="ConsPlusNormal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6BC1" w:rsidRPr="004F7646" w:rsidRDefault="006A6BC1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395"/>
        </w:trPr>
        <w:tc>
          <w:tcPr>
            <w:tcW w:w="567" w:type="dxa"/>
            <w:shd w:val="clear" w:color="auto" w:fill="auto"/>
            <w:noWrap/>
            <w:vAlign w:val="center"/>
          </w:tcPr>
          <w:p w:rsidR="00626A40" w:rsidRDefault="00626A40" w:rsidP="009625E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26A40" w:rsidRPr="00626A40" w:rsidRDefault="00626A40" w:rsidP="009625E4">
            <w:pPr>
              <w:rPr>
                <w:b/>
                <w:color w:val="000000"/>
                <w:sz w:val="20"/>
                <w:szCs w:val="20"/>
              </w:rPr>
            </w:pPr>
            <w:r w:rsidRPr="00626A40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A40" w:rsidRDefault="00626A40" w:rsidP="009625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</w:tcPr>
          <w:p w:rsidR="00626A40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626A40" w:rsidRPr="00D67974" w:rsidRDefault="00D67974" w:rsidP="009625E4">
            <w:pPr>
              <w:pStyle w:val="ConsPlusNormal"/>
              <w:suppressAutoHyphens/>
              <w:rPr>
                <w:sz w:val="20"/>
                <w:szCs w:val="20"/>
                <w:highlight w:val="green"/>
              </w:rPr>
            </w:pPr>
            <w:r w:rsidRPr="00D67974">
              <w:rPr>
                <w:sz w:val="20"/>
                <w:szCs w:val="20"/>
              </w:rPr>
              <w:t>Число культурно-массовых и досуговых мероприятий</w:t>
            </w:r>
          </w:p>
        </w:tc>
        <w:tc>
          <w:tcPr>
            <w:tcW w:w="1842" w:type="dxa"/>
            <w:shd w:val="clear" w:color="auto" w:fill="auto"/>
          </w:tcPr>
          <w:p w:rsidR="00626A40" w:rsidRPr="00D67974" w:rsidRDefault="00D67974" w:rsidP="009625E4">
            <w:pPr>
              <w:pStyle w:val="ConsPlusNormal"/>
              <w:suppressAutoHyphens/>
              <w:jc w:val="center"/>
              <w:rPr>
                <w:sz w:val="20"/>
                <w:szCs w:val="20"/>
                <w:highlight w:val="green"/>
              </w:rPr>
            </w:pPr>
            <w:r w:rsidRPr="00D67974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A40" w:rsidRPr="004F7646" w:rsidRDefault="00626A40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</w:tcPr>
          <w:p w:rsidR="00D67974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D67974" w:rsidRPr="00D67974" w:rsidRDefault="00D67974" w:rsidP="009625E4">
            <w:pPr>
              <w:rPr>
                <w:bCs/>
                <w:sz w:val="20"/>
                <w:szCs w:val="20"/>
              </w:rPr>
            </w:pPr>
            <w:r w:rsidRPr="00D67974">
              <w:rPr>
                <w:sz w:val="20"/>
                <w:szCs w:val="20"/>
              </w:rPr>
              <w:t>Количество участников культурно-досуговых формирований</w:t>
            </w:r>
          </w:p>
        </w:tc>
        <w:tc>
          <w:tcPr>
            <w:tcW w:w="1842" w:type="dxa"/>
            <w:shd w:val="clear" w:color="auto" w:fill="auto"/>
          </w:tcPr>
          <w:p w:rsidR="00D67974" w:rsidRPr="00D67974" w:rsidRDefault="00D67974" w:rsidP="009625E4">
            <w:pPr>
              <w:jc w:val="center"/>
              <w:rPr>
                <w:bCs/>
                <w:sz w:val="20"/>
                <w:szCs w:val="20"/>
              </w:rPr>
            </w:pPr>
          </w:p>
          <w:p w:rsidR="00D67974" w:rsidRPr="00D67974" w:rsidRDefault="00D67974" w:rsidP="009625E4">
            <w:pPr>
              <w:jc w:val="center"/>
              <w:rPr>
                <w:bCs/>
                <w:sz w:val="20"/>
                <w:szCs w:val="20"/>
              </w:rPr>
            </w:pPr>
            <w:r w:rsidRPr="00D67974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</w:tcPr>
          <w:p w:rsidR="00D67974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7974" w:rsidRPr="00D67974" w:rsidRDefault="00D67974" w:rsidP="009625E4">
            <w:pPr>
              <w:pStyle w:val="ConsPlusCell"/>
              <w:rPr>
                <w:rFonts w:ascii="Times New Roman" w:hAnsi="Times New Roman" w:cs="Times New Roman"/>
              </w:rPr>
            </w:pPr>
            <w:r w:rsidRPr="00D67974">
              <w:rPr>
                <w:rFonts w:ascii="Times New Roman" w:hAnsi="Times New Roman" w:cs="Times New Roman"/>
                <w:kern w:val="28"/>
              </w:rPr>
              <w:t>Количество посещений общедоступных (публичных) библиотек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974" w:rsidRPr="00D67974" w:rsidRDefault="00D67974" w:rsidP="009625E4">
            <w:pPr>
              <w:jc w:val="center"/>
              <w:rPr>
                <w:sz w:val="20"/>
                <w:szCs w:val="20"/>
              </w:rPr>
            </w:pPr>
            <w:r w:rsidRPr="00D6797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</w:tr>
      <w:tr w:rsidR="00A96D2F" w:rsidRPr="004F7646" w:rsidTr="00A96D2F">
        <w:trPr>
          <w:trHeight w:val="415"/>
        </w:trPr>
        <w:tc>
          <w:tcPr>
            <w:tcW w:w="567" w:type="dxa"/>
            <w:shd w:val="clear" w:color="auto" w:fill="auto"/>
            <w:noWrap/>
            <w:vAlign w:val="center"/>
          </w:tcPr>
          <w:p w:rsidR="00D67974" w:rsidRDefault="00032E77" w:rsidP="0096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7974" w:rsidRPr="00D67974" w:rsidRDefault="00D67974" w:rsidP="009625E4">
            <w:pPr>
              <w:rPr>
                <w:sz w:val="20"/>
                <w:szCs w:val="20"/>
              </w:rPr>
            </w:pPr>
            <w:r w:rsidRPr="00D67974">
              <w:rPr>
                <w:sz w:val="20"/>
                <w:szCs w:val="20"/>
              </w:rPr>
              <w:t xml:space="preserve">Число детей, обучающихся в учреждениях дополнительного образования культуры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974" w:rsidRPr="00D67974" w:rsidRDefault="00D67974" w:rsidP="009625E4">
            <w:pPr>
              <w:jc w:val="center"/>
              <w:rPr>
                <w:sz w:val="20"/>
                <w:szCs w:val="20"/>
              </w:rPr>
            </w:pPr>
            <w:r w:rsidRPr="00D6797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974" w:rsidRPr="004F7646" w:rsidRDefault="00D67974" w:rsidP="009625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41BB0" w:rsidRDefault="00641BB0" w:rsidP="009625E4">
      <w:pPr>
        <w:jc w:val="both"/>
        <w:sectPr w:rsidR="00641BB0" w:rsidSect="00A96D2F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641BB0" w:rsidRPr="00CB24B3" w:rsidRDefault="00641BB0" w:rsidP="00154150">
      <w:pPr>
        <w:pStyle w:val="ConsPlusTitle"/>
        <w:widowControl/>
        <w:spacing w:line="240" w:lineRule="exact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24B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3</w:t>
      </w:r>
    </w:p>
    <w:p w:rsidR="00510689" w:rsidRPr="00CB24B3" w:rsidRDefault="00510689" w:rsidP="00154150">
      <w:pPr>
        <w:shd w:val="clear" w:color="auto" w:fill="FFFFFF"/>
        <w:spacing w:line="240" w:lineRule="exact"/>
        <w:ind w:left="4820"/>
        <w:rPr>
          <w:color w:val="000000"/>
          <w:sz w:val="28"/>
          <w:szCs w:val="28"/>
        </w:rPr>
      </w:pPr>
      <w:r w:rsidRPr="00CB24B3">
        <w:rPr>
          <w:color w:val="000000"/>
          <w:spacing w:val="1"/>
          <w:sz w:val="28"/>
          <w:szCs w:val="28"/>
        </w:rPr>
        <w:t>к Порядку разработки</w:t>
      </w:r>
      <w:r>
        <w:rPr>
          <w:color w:val="000000"/>
          <w:spacing w:val="1"/>
          <w:sz w:val="28"/>
          <w:szCs w:val="28"/>
        </w:rPr>
        <w:t>,</w:t>
      </w:r>
      <w:r w:rsidRPr="00CB24B3">
        <w:rPr>
          <w:color w:val="000000"/>
          <w:spacing w:val="1"/>
          <w:sz w:val="28"/>
          <w:szCs w:val="28"/>
        </w:rPr>
        <w:t xml:space="preserve"> корректировки</w:t>
      </w:r>
      <w:r>
        <w:rPr>
          <w:color w:val="000000"/>
          <w:spacing w:val="1"/>
          <w:sz w:val="28"/>
          <w:szCs w:val="28"/>
        </w:rPr>
        <w:t xml:space="preserve">, осуществления мониторинга и контроля реализации </w:t>
      </w:r>
      <w:r w:rsidRPr="00CB24B3">
        <w:rPr>
          <w:color w:val="000000"/>
          <w:spacing w:val="1"/>
          <w:sz w:val="28"/>
          <w:szCs w:val="28"/>
        </w:rPr>
        <w:t>прогноза социально-экономического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CB24B3">
        <w:rPr>
          <w:color w:val="000000"/>
          <w:sz w:val="28"/>
          <w:szCs w:val="28"/>
        </w:rPr>
        <w:t xml:space="preserve">развития Красногвардейского муниципального </w:t>
      </w:r>
      <w:r>
        <w:rPr>
          <w:color w:val="000000"/>
          <w:sz w:val="28"/>
          <w:szCs w:val="28"/>
        </w:rPr>
        <w:t>округа</w:t>
      </w:r>
      <w:r w:rsidRPr="00CB24B3">
        <w:rPr>
          <w:color w:val="000000"/>
          <w:sz w:val="28"/>
          <w:szCs w:val="28"/>
        </w:rPr>
        <w:t xml:space="preserve"> Ставропольского края на долгосрочный</w:t>
      </w:r>
      <w:r w:rsidRPr="00CB24B3">
        <w:rPr>
          <w:color w:val="000000"/>
          <w:spacing w:val="-1"/>
          <w:sz w:val="28"/>
          <w:szCs w:val="28"/>
        </w:rPr>
        <w:t xml:space="preserve"> период</w:t>
      </w:r>
    </w:p>
    <w:p w:rsidR="00510689" w:rsidRDefault="00510689" w:rsidP="00154150">
      <w:pPr>
        <w:shd w:val="clear" w:color="auto" w:fill="FFFFFF"/>
        <w:spacing w:line="240" w:lineRule="exact"/>
        <w:jc w:val="center"/>
        <w:rPr>
          <w:color w:val="000000"/>
          <w:spacing w:val="-1"/>
          <w:sz w:val="28"/>
          <w:szCs w:val="28"/>
        </w:rPr>
      </w:pPr>
    </w:p>
    <w:p w:rsidR="00154150" w:rsidRDefault="00154150" w:rsidP="00154150">
      <w:pPr>
        <w:shd w:val="clear" w:color="auto" w:fill="FFFFFF"/>
        <w:spacing w:line="240" w:lineRule="exact"/>
        <w:jc w:val="center"/>
        <w:rPr>
          <w:color w:val="000000"/>
          <w:spacing w:val="-1"/>
          <w:sz w:val="28"/>
          <w:szCs w:val="28"/>
        </w:rPr>
      </w:pPr>
    </w:p>
    <w:p w:rsidR="00154150" w:rsidRDefault="00154150" w:rsidP="00154150">
      <w:pPr>
        <w:shd w:val="clear" w:color="auto" w:fill="FFFFFF"/>
        <w:spacing w:line="240" w:lineRule="exact"/>
        <w:jc w:val="center"/>
        <w:rPr>
          <w:color w:val="000000"/>
          <w:spacing w:val="-1"/>
          <w:sz w:val="28"/>
          <w:szCs w:val="28"/>
        </w:rPr>
      </w:pPr>
    </w:p>
    <w:p w:rsidR="00154150" w:rsidRDefault="00154150" w:rsidP="00154150">
      <w:pPr>
        <w:shd w:val="clear" w:color="auto" w:fill="FFFFFF"/>
        <w:spacing w:line="240" w:lineRule="exact"/>
        <w:jc w:val="center"/>
        <w:rPr>
          <w:color w:val="000000"/>
          <w:spacing w:val="-1"/>
          <w:sz w:val="28"/>
          <w:szCs w:val="28"/>
        </w:rPr>
      </w:pPr>
    </w:p>
    <w:p w:rsidR="00641BB0" w:rsidRPr="00CB24B3" w:rsidRDefault="00641BB0" w:rsidP="00154150">
      <w:pPr>
        <w:shd w:val="clear" w:color="auto" w:fill="FFFFFF"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CB24B3">
        <w:rPr>
          <w:color w:val="000000"/>
          <w:spacing w:val="-1"/>
          <w:sz w:val="28"/>
          <w:szCs w:val="28"/>
        </w:rPr>
        <w:t>Распределение</w:t>
      </w:r>
    </w:p>
    <w:p w:rsidR="00641BB0" w:rsidRDefault="00641BB0" w:rsidP="00154150">
      <w:pPr>
        <w:shd w:val="clear" w:color="auto" w:fill="FFFFFF"/>
        <w:spacing w:line="240" w:lineRule="exact"/>
        <w:jc w:val="center"/>
      </w:pPr>
      <w:r w:rsidRPr="00CB24B3">
        <w:rPr>
          <w:color w:val="000000"/>
          <w:spacing w:val="-1"/>
          <w:sz w:val="28"/>
          <w:szCs w:val="28"/>
        </w:rPr>
        <w:t xml:space="preserve">целевых показателей социально-экономического развития Красногвардейского муниципального </w:t>
      </w:r>
      <w:r w:rsidR="00510689">
        <w:rPr>
          <w:color w:val="000000"/>
          <w:spacing w:val="-1"/>
          <w:sz w:val="28"/>
          <w:szCs w:val="28"/>
        </w:rPr>
        <w:t>округа</w:t>
      </w:r>
      <w:r w:rsidRPr="00CB24B3">
        <w:rPr>
          <w:color w:val="000000"/>
          <w:spacing w:val="-1"/>
          <w:sz w:val="28"/>
          <w:szCs w:val="28"/>
        </w:rPr>
        <w:t xml:space="preserve"> Ставропольского края на долгосрочный период, представляемых </w:t>
      </w:r>
      <w:r w:rsidRPr="00CB24B3">
        <w:rPr>
          <w:sz w:val="28"/>
          <w:szCs w:val="28"/>
        </w:rPr>
        <w:t>отделами</w:t>
      </w:r>
      <w:r w:rsidR="00510689">
        <w:rPr>
          <w:sz w:val="28"/>
          <w:szCs w:val="28"/>
        </w:rPr>
        <w:t>,</w:t>
      </w:r>
      <w:r w:rsidRPr="00CB24B3">
        <w:rPr>
          <w:sz w:val="28"/>
          <w:szCs w:val="28"/>
        </w:rPr>
        <w:t xml:space="preserve"> управлениями</w:t>
      </w:r>
      <w:r w:rsidR="00510689">
        <w:rPr>
          <w:sz w:val="28"/>
          <w:szCs w:val="28"/>
        </w:rPr>
        <w:t>, комитетами</w:t>
      </w:r>
      <w:r w:rsidRPr="00CB24B3">
        <w:rPr>
          <w:sz w:val="28"/>
          <w:szCs w:val="28"/>
        </w:rPr>
        <w:t xml:space="preserve"> администрации Красногвардейского муниципального </w:t>
      </w:r>
      <w:r w:rsidR="00510689"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края, государственными учреждениями, расположенными на территории Красногвардейского муниципального </w:t>
      </w:r>
      <w:r w:rsidR="00510689"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края, являющимися субъектами прогнозирования социально-экономического развития Красногвардейского муниципального </w:t>
      </w:r>
      <w:r w:rsidR="00510689">
        <w:rPr>
          <w:sz w:val="28"/>
          <w:szCs w:val="28"/>
        </w:rPr>
        <w:t>округа</w:t>
      </w:r>
      <w:r w:rsidRPr="00CB24B3">
        <w:rPr>
          <w:sz w:val="28"/>
          <w:szCs w:val="28"/>
        </w:rPr>
        <w:t xml:space="preserve"> Ставропольского края</w:t>
      </w:r>
    </w:p>
    <w:p w:rsidR="00641BB0" w:rsidRDefault="00641BB0" w:rsidP="00154150">
      <w:pPr>
        <w:shd w:val="clear" w:color="auto" w:fill="FFFFFF"/>
        <w:spacing w:line="240" w:lineRule="exact"/>
        <w:jc w:val="center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895"/>
        <w:gridCol w:w="3316"/>
      </w:tblGrid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№</w:t>
            </w:r>
          </w:p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п/п</w:t>
            </w:r>
          </w:p>
        </w:tc>
        <w:tc>
          <w:tcPr>
            <w:tcW w:w="6204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 xml:space="preserve">Наименование субъектов прогнозирования </w:t>
            </w:r>
          </w:p>
        </w:tc>
        <w:tc>
          <w:tcPr>
            <w:tcW w:w="3427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 xml:space="preserve">Порядковый номер показателя в таблице отчетных и прогнозных значений целевых показателей социально-экономического развития  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1.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765B6A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 xml:space="preserve">Отдел </w:t>
            </w:r>
            <w:r w:rsidRPr="00765B6A">
              <w:rPr>
                <w:rStyle w:val="FontStyle24"/>
              </w:rPr>
              <w:t>дорожного хозяйства, транспорта и капитального строительства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3A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  <w:r w:rsidR="00765B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19-21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2.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765B6A">
            <w:pPr>
              <w:tabs>
                <w:tab w:val="left" w:pos="240"/>
              </w:tabs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 xml:space="preserve">Отдел экономического развития администрации Красногвардейского муниципального округа Ставропольского края 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765B6A" w:rsidP="003A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A5B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="003A5B49">
              <w:rPr>
                <w:sz w:val="28"/>
                <w:szCs w:val="28"/>
              </w:rPr>
              <w:t>22-30</w:t>
            </w:r>
            <w:r>
              <w:rPr>
                <w:sz w:val="28"/>
                <w:szCs w:val="28"/>
              </w:rPr>
              <w:t>,</w:t>
            </w:r>
            <w:r w:rsidR="003A5B49">
              <w:rPr>
                <w:sz w:val="28"/>
                <w:szCs w:val="28"/>
              </w:rPr>
              <w:t xml:space="preserve"> 33, 34, 37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3.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Отдел архитектуры и градостроительства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4.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rStyle w:val="FontStyle24"/>
              </w:rPr>
              <w:t>Отдел культуры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44-47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5.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38, 39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641BB0" w:rsidP="00E93901">
            <w:pPr>
              <w:jc w:val="center"/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6.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Управление сельского 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765B6A" w:rsidRPr="00765B6A" w:rsidTr="00E93901">
        <w:tc>
          <w:tcPr>
            <w:tcW w:w="648" w:type="dxa"/>
          </w:tcPr>
          <w:p w:rsidR="00765B6A" w:rsidRPr="00765B6A" w:rsidRDefault="00765B6A" w:rsidP="00E9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04" w:type="dxa"/>
            <w:shd w:val="clear" w:color="auto" w:fill="auto"/>
          </w:tcPr>
          <w:p w:rsidR="00765B6A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 xml:space="preserve">Управление труда и социальной защиты населения администрации Красногвардейского </w:t>
            </w:r>
            <w:r w:rsidRPr="00765B6A">
              <w:rPr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765B6A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31, 32</w:t>
            </w:r>
          </w:p>
        </w:tc>
      </w:tr>
      <w:tr w:rsidR="00765B6A" w:rsidRPr="00765B6A" w:rsidTr="00E93901">
        <w:tc>
          <w:tcPr>
            <w:tcW w:w="648" w:type="dxa"/>
          </w:tcPr>
          <w:p w:rsidR="00765B6A" w:rsidRPr="00765B6A" w:rsidRDefault="00765B6A" w:rsidP="00E9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04" w:type="dxa"/>
            <w:shd w:val="clear" w:color="auto" w:fill="auto"/>
          </w:tcPr>
          <w:p w:rsidR="00765B6A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Комитет по физической культуре и спорту администрации Красногвардейского муниципального округа Ставропольского края</w:t>
            </w:r>
          </w:p>
        </w:tc>
        <w:tc>
          <w:tcPr>
            <w:tcW w:w="3427" w:type="dxa"/>
            <w:shd w:val="clear" w:color="auto" w:fill="auto"/>
          </w:tcPr>
          <w:p w:rsidR="00765B6A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41-43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765B6A" w:rsidP="00E9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1BB0" w:rsidRPr="00765B6A"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Государственное казенное учреждение «Центр занятости населения Красногвардейского района» (по согласованию)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35, 36</w:t>
            </w:r>
          </w:p>
        </w:tc>
      </w:tr>
      <w:tr w:rsidR="00641BB0" w:rsidRPr="00765B6A" w:rsidTr="00E93901">
        <w:tc>
          <w:tcPr>
            <w:tcW w:w="648" w:type="dxa"/>
          </w:tcPr>
          <w:p w:rsidR="00641BB0" w:rsidRPr="00765B6A" w:rsidRDefault="00765B6A" w:rsidP="00E93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1BB0" w:rsidRPr="00765B6A">
              <w:rPr>
                <w:sz w:val="28"/>
                <w:szCs w:val="28"/>
              </w:rPr>
              <w:t>.</w:t>
            </w:r>
          </w:p>
        </w:tc>
        <w:tc>
          <w:tcPr>
            <w:tcW w:w="6204" w:type="dxa"/>
            <w:shd w:val="clear" w:color="auto" w:fill="auto"/>
          </w:tcPr>
          <w:p w:rsidR="00641BB0" w:rsidRPr="00765B6A" w:rsidRDefault="00765B6A" w:rsidP="00E93901">
            <w:pPr>
              <w:rPr>
                <w:sz w:val="28"/>
                <w:szCs w:val="28"/>
              </w:rPr>
            </w:pPr>
            <w:r w:rsidRPr="00765B6A">
              <w:rPr>
                <w:sz w:val="28"/>
                <w:szCs w:val="28"/>
              </w:rPr>
              <w:t>Государственное бюджетное учреждение здравоохранения Ставропольского края «Красногвардейская районная больница» (по согласованию)</w:t>
            </w:r>
          </w:p>
        </w:tc>
        <w:tc>
          <w:tcPr>
            <w:tcW w:w="3427" w:type="dxa"/>
            <w:shd w:val="clear" w:color="auto" w:fill="auto"/>
          </w:tcPr>
          <w:p w:rsidR="00641BB0" w:rsidRPr="00765B6A" w:rsidRDefault="003A5B49" w:rsidP="00E9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41BB0" w:rsidRPr="00113374" w:rsidRDefault="00641BB0" w:rsidP="00765B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641BB0" w:rsidRPr="00113374" w:rsidSect="00E93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25" w:rsidRDefault="00766A25" w:rsidP="00DD2896">
      <w:r>
        <w:separator/>
      </w:r>
    </w:p>
  </w:endnote>
  <w:endnote w:type="continuationSeparator" w:id="0">
    <w:p w:rsidR="00766A25" w:rsidRDefault="00766A25" w:rsidP="00DD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A96D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A96D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A96D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25" w:rsidRDefault="00766A25" w:rsidP="00DD2896">
      <w:r>
        <w:separator/>
      </w:r>
    </w:p>
  </w:footnote>
  <w:footnote w:type="continuationSeparator" w:id="0">
    <w:p w:rsidR="00766A25" w:rsidRDefault="00766A25" w:rsidP="00DD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EA7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6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D2F">
      <w:rPr>
        <w:rStyle w:val="a5"/>
        <w:noProof/>
      </w:rPr>
      <w:t>1</w:t>
    </w:r>
    <w:r>
      <w:rPr>
        <w:rStyle w:val="a5"/>
      </w:rPr>
      <w:fldChar w:fldCharType="end"/>
    </w:r>
  </w:p>
  <w:p w:rsidR="00A96D2F" w:rsidRDefault="00A96D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A96D2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F" w:rsidRDefault="00A96D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B0"/>
    <w:rsid w:val="00032E77"/>
    <w:rsid w:val="00084D8A"/>
    <w:rsid w:val="0009624B"/>
    <w:rsid w:val="000A0077"/>
    <w:rsid w:val="0010529B"/>
    <w:rsid w:val="00123920"/>
    <w:rsid w:val="00154150"/>
    <w:rsid w:val="001644B4"/>
    <w:rsid w:val="0018146B"/>
    <w:rsid w:val="00193017"/>
    <w:rsid w:val="001E7CE4"/>
    <w:rsid w:val="002D1F2C"/>
    <w:rsid w:val="00345123"/>
    <w:rsid w:val="003A462D"/>
    <w:rsid w:val="003A505E"/>
    <w:rsid w:val="003A5B49"/>
    <w:rsid w:val="003B2E27"/>
    <w:rsid w:val="003F10D4"/>
    <w:rsid w:val="00460146"/>
    <w:rsid w:val="00475A41"/>
    <w:rsid w:val="00484BAF"/>
    <w:rsid w:val="004A2D3F"/>
    <w:rsid w:val="004E692D"/>
    <w:rsid w:val="00510689"/>
    <w:rsid w:val="00541A4F"/>
    <w:rsid w:val="005E2AEC"/>
    <w:rsid w:val="006163A5"/>
    <w:rsid w:val="00626A40"/>
    <w:rsid w:val="00641BB0"/>
    <w:rsid w:val="0066509C"/>
    <w:rsid w:val="0068757E"/>
    <w:rsid w:val="006A2E01"/>
    <w:rsid w:val="006A6BC1"/>
    <w:rsid w:val="00711E99"/>
    <w:rsid w:val="007300E0"/>
    <w:rsid w:val="00765B6A"/>
    <w:rsid w:val="00766A25"/>
    <w:rsid w:val="007A105A"/>
    <w:rsid w:val="007D031B"/>
    <w:rsid w:val="00813B6B"/>
    <w:rsid w:val="0083659E"/>
    <w:rsid w:val="008505D1"/>
    <w:rsid w:val="00864B3E"/>
    <w:rsid w:val="00871923"/>
    <w:rsid w:val="008F1E2E"/>
    <w:rsid w:val="0093312B"/>
    <w:rsid w:val="00941FA8"/>
    <w:rsid w:val="00951DCA"/>
    <w:rsid w:val="009625E4"/>
    <w:rsid w:val="009F21FD"/>
    <w:rsid w:val="00A00D85"/>
    <w:rsid w:val="00A01DF9"/>
    <w:rsid w:val="00A2187F"/>
    <w:rsid w:val="00A25B73"/>
    <w:rsid w:val="00A265F3"/>
    <w:rsid w:val="00A53162"/>
    <w:rsid w:val="00A53332"/>
    <w:rsid w:val="00A96D2F"/>
    <w:rsid w:val="00AD3082"/>
    <w:rsid w:val="00AF25FB"/>
    <w:rsid w:val="00B32DF7"/>
    <w:rsid w:val="00B367D0"/>
    <w:rsid w:val="00B40D1B"/>
    <w:rsid w:val="00B93600"/>
    <w:rsid w:val="00C10744"/>
    <w:rsid w:val="00C11C12"/>
    <w:rsid w:val="00D12E8E"/>
    <w:rsid w:val="00D3338F"/>
    <w:rsid w:val="00D67974"/>
    <w:rsid w:val="00DD2896"/>
    <w:rsid w:val="00E460E6"/>
    <w:rsid w:val="00E71532"/>
    <w:rsid w:val="00E719C9"/>
    <w:rsid w:val="00E7721A"/>
    <w:rsid w:val="00E93901"/>
    <w:rsid w:val="00EA00AC"/>
    <w:rsid w:val="00EA7BF7"/>
    <w:rsid w:val="00F31301"/>
    <w:rsid w:val="00F456DD"/>
    <w:rsid w:val="00F70A22"/>
    <w:rsid w:val="00F92EF7"/>
    <w:rsid w:val="00F936BC"/>
    <w:rsid w:val="00FF1973"/>
    <w:rsid w:val="00FF214D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BB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41B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1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BB0"/>
  </w:style>
  <w:style w:type="paragraph" w:styleId="a6">
    <w:name w:val="footer"/>
    <w:basedOn w:val="a"/>
    <w:link w:val="a7"/>
    <w:uiPriority w:val="99"/>
    <w:semiHidden/>
    <w:unhideWhenUsed/>
    <w:rsid w:val="00641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1BB0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b/>
      <w:bCs/>
      <w:lang w:eastAsia="ru-RU"/>
    </w:rPr>
  </w:style>
  <w:style w:type="character" w:customStyle="1" w:styleId="FontStyle24">
    <w:name w:val="Font Style24"/>
    <w:basedOn w:val="a0"/>
    <w:uiPriority w:val="99"/>
    <w:rsid w:val="00641BB0"/>
    <w:rPr>
      <w:rFonts w:ascii="Times New Roman" w:hAnsi="Times New Roman" w:cs="Times New Roman"/>
      <w:sz w:val="28"/>
      <w:szCs w:val="28"/>
    </w:rPr>
  </w:style>
  <w:style w:type="paragraph" w:customStyle="1" w:styleId="a8">
    <w:name w:val="_Таблица текст компактный"/>
    <w:basedOn w:val="a"/>
    <w:link w:val="a9"/>
    <w:qFormat/>
    <w:rsid w:val="00541A4F"/>
    <w:rPr>
      <w:rFonts w:eastAsia="Calibri"/>
    </w:rPr>
  </w:style>
  <w:style w:type="character" w:customStyle="1" w:styleId="a9">
    <w:name w:val="_Таблица текст компактный Знак"/>
    <w:link w:val="a8"/>
    <w:rsid w:val="00541A4F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6A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25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AF25F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2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EA00AC"/>
    <w:pPr>
      <w:jc w:val="center"/>
    </w:pPr>
    <w:rPr>
      <w:color w:val="000000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EA00A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A0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1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1BB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41B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1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BB0"/>
  </w:style>
  <w:style w:type="paragraph" w:styleId="a6">
    <w:name w:val="footer"/>
    <w:basedOn w:val="a"/>
    <w:link w:val="a7"/>
    <w:uiPriority w:val="99"/>
    <w:semiHidden/>
    <w:unhideWhenUsed/>
    <w:rsid w:val="00641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1BB0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b/>
      <w:bCs/>
      <w:lang w:eastAsia="ru-RU"/>
    </w:rPr>
  </w:style>
  <w:style w:type="character" w:customStyle="1" w:styleId="FontStyle24">
    <w:name w:val="Font Style24"/>
    <w:basedOn w:val="a0"/>
    <w:uiPriority w:val="99"/>
    <w:rsid w:val="00641BB0"/>
    <w:rPr>
      <w:rFonts w:ascii="Times New Roman" w:hAnsi="Times New Roman" w:cs="Times New Roman"/>
      <w:sz w:val="28"/>
      <w:szCs w:val="28"/>
    </w:rPr>
  </w:style>
  <w:style w:type="paragraph" w:customStyle="1" w:styleId="a8">
    <w:name w:val="_Таблица текст компактный"/>
    <w:basedOn w:val="a"/>
    <w:link w:val="a9"/>
    <w:qFormat/>
    <w:rsid w:val="00541A4F"/>
    <w:rPr>
      <w:rFonts w:eastAsia="Calibri"/>
    </w:rPr>
  </w:style>
  <w:style w:type="character" w:customStyle="1" w:styleId="a9">
    <w:name w:val="_Таблица текст компактный Знак"/>
    <w:link w:val="a8"/>
    <w:rsid w:val="00541A4F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26A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25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AF25F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2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5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EA00AC"/>
    <w:pPr>
      <w:jc w:val="center"/>
    </w:pPr>
    <w:rPr>
      <w:color w:val="000000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EA00A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EA0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16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68D4294631A452C2BBF1ADB4A2051B60917C98A2688AAB3A5640F55aCEA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827D-4EAB-4DBE-B7D6-7B2AC84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</cp:lastModifiedBy>
  <cp:revision>4</cp:revision>
  <cp:lastPrinted>2021-10-15T07:41:00Z</cp:lastPrinted>
  <dcterms:created xsi:type="dcterms:W3CDTF">2021-10-15T07:50:00Z</dcterms:created>
  <dcterms:modified xsi:type="dcterms:W3CDTF">2021-11-30T12:36:00Z</dcterms:modified>
</cp:coreProperties>
</file>